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ind w:firstLine="0"/>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pStyle w:val="1311"/>
        <w:ind w:firstLine="480"/>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14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311"/>
        <w:ind w:firstLine="480"/>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ind w:firstLine="0"/>
        <w:jc w:val="center"/>
        <w:rPr>
          <w:rFonts w:hint="eastAsia" w:ascii="方正小标宋_GBK" w:hAnsi="方正小标宋_GBK" w:eastAsia="方正小标宋_GBK" w:cs="方正小标宋_GBK"/>
          <w:bCs/>
          <w:color w:val="000000" w:themeColor="text1"/>
          <w:spacing w:val="227"/>
          <w:sz w:val="96"/>
          <w:szCs w:val="21"/>
          <w:highlight w:val="none"/>
          <w14:textFill>
            <w14:solidFill>
              <w14:schemeClr w14:val="tx1"/>
            </w14:solidFill>
          </w14:textFill>
        </w:rPr>
      </w:pPr>
      <w:r>
        <w:rPr>
          <w:rFonts w:hint="eastAsia" w:ascii="方正小标宋_GBK" w:hAnsi="方正小标宋_GBK" w:eastAsia="方正小标宋_GBK" w:cs="方正小标宋_GBK"/>
          <w:bCs/>
          <w:color w:val="000000" w:themeColor="text1"/>
          <w:spacing w:val="227"/>
          <w:sz w:val="96"/>
          <w:szCs w:val="21"/>
          <w:highlight w:val="none"/>
          <w14:textFill>
            <w14:solidFill>
              <w14:schemeClr w14:val="tx1"/>
            </w14:solidFill>
          </w14:textFill>
        </w:rPr>
        <w:t xml:space="preserve">招标文件</w:t>
      </w:r>
      <w:r/>
    </w:p>
    <w:p>
      <w:pPr>
        <w:ind w:firstLine="482"/>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ind w:firstLine="482"/>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 </w:t>
      </w:r>
      <w:r/>
    </w:p>
    <w:p>
      <w:pPr>
        <w:ind w:left="0" w:firstLine="1200"/>
        <w:keepLines w:val="0"/>
        <w:keepNext w:val="0"/>
        <w:pageBreakBefore w:val="0"/>
        <w:spacing w:line="500" w:lineRule="atLeast"/>
        <w:widowControl w:val="off"/>
        <w:rPr>
          <w:rFonts w:hint="eastAsia" w:ascii="宋体" w:hAnsi="宋体" w:eastAsia="宋体" w:cs="宋体"/>
          <w:color w:val="000000" w:themeColor="text1"/>
          <w:sz w:val="30"/>
          <w:szCs w:val="30"/>
          <w:highlight w:val="none"/>
          <w:lang w:val="en-US" w:eastAsia="zh-CN"/>
          <w14:textFill>
            <w14:solidFill>
              <w14:schemeClr w14:val="tx1"/>
            </w14:solidFill>
          </w14:textFill>
        </w:rPr>
      </w:pPr>
      <w:r>
        <w:rPr>
          <w:rFonts w:hint="eastAsia" w:ascii="宋体" w:hAnsi="宋体" w:eastAsia="宋体" w:cs="宋体"/>
          <w:color w:val="000000" w:themeColor="text1"/>
          <w:sz w:val="30"/>
          <w:szCs w:val="30"/>
          <w:highlight w:val="none"/>
          <w:lang w:val="en-US" w:eastAsia="zh-CN"/>
          <w14:textFill>
            <w14:solidFill>
              <w14:schemeClr w14:val="tx1"/>
            </w14:solidFill>
          </w14:textFill>
        </w:rPr>
      </w:r>
      <w:r/>
    </w:p>
    <w:p>
      <w:pPr>
        <w:ind w:left="0" w:firstLine="1200"/>
        <w:keepLines w:val="0"/>
        <w:keepNext w:val="0"/>
        <w:pageBreakBefore w:val="0"/>
        <w:spacing w:line="500" w:lineRule="atLeast"/>
        <w:widowControl w:val="off"/>
        <w:rPr>
          <w:rFonts w:hint="eastAsia" w:ascii="宋体" w:hAnsi="宋体" w:eastAsia="宋体" w:cs="宋体"/>
          <w:color w:val="000000" w:themeColor="text1"/>
          <w:sz w:val="30"/>
          <w:szCs w:val="30"/>
          <w:highlight w:val="none"/>
          <w:lang w:val="en-US" w:eastAsia="zh-CN"/>
          <w14:textFill>
            <w14:solidFill>
              <w14:schemeClr w14:val="tx1"/>
            </w14:solidFill>
          </w14:textFill>
        </w:rPr>
      </w:pPr>
      <w:r>
        <w:rPr>
          <w:rFonts w:hint="eastAsia" w:ascii="宋体" w:hAnsi="宋体" w:eastAsia="宋体" w:cs="宋体"/>
          <w:color w:val="000000" w:themeColor="text1"/>
          <w:sz w:val="30"/>
          <w:szCs w:val="30"/>
          <w:highlight w:val="none"/>
          <w:lang w:val="en-US" w:eastAsia="zh-CN"/>
          <w14:textFill>
            <w14:solidFill>
              <w14:schemeClr w14:val="tx1"/>
            </w14:solidFill>
          </w14:textFill>
        </w:rPr>
        <w:t xml:space="preserve">项目编号：JSZC-320321-FXZX-G2026-0006</w:t>
      </w:r>
      <w:r/>
    </w:p>
    <w:p>
      <w:pPr>
        <w:ind w:left="0" w:firstLine="1200"/>
        <w:keepLines w:val="0"/>
        <w:keepNext w:val="0"/>
        <w:pageBreakBefore w:val="0"/>
        <w:spacing w:line="500" w:lineRule="atLeast"/>
        <w:widowControl w:val="off"/>
        <w:rPr>
          <w:rFonts w:hint="eastAsia" w:ascii="宋体" w:hAnsi="宋体" w:eastAsia="宋体" w:cs="宋体"/>
          <w:color w:val="000000" w:themeColor="text1"/>
          <w:sz w:val="30"/>
          <w:szCs w:val="30"/>
          <w:highlight w:val="none"/>
          <w:lang w:val="en-US" w:eastAsia="zh-CN"/>
          <w14:textFill>
            <w14:solidFill>
              <w14:schemeClr w14:val="tx1"/>
            </w14:solidFill>
          </w14:textFill>
        </w:rPr>
      </w:pPr>
      <w:r>
        <w:rPr>
          <w:rFonts w:hint="eastAsia" w:ascii="宋体" w:hAnsi="宋体" w:eastAsia="宋体" w:cs="宋体"/>
          <w:color w:val="000000" w:themeColor="text1"/>
          <w:sz w:val="30"/>
          <w:szCs w:val="30"/>
          <w:highlight w:val="none"/>
          <w:lang w:val="en-US" w:eastAsia="zh-CN"/>
          <w14:textFill>
            <w14:solidFill>
              <w14:schemeClr w14:val="tx1"/>
            </w14:solidFill>
          </w14:textFill>
        </w:rPr>
        <w:t xml:space="preserve">项目名称：丰县云计算资源平台服务项目</w:t>
      </w:r>
      <w:r/>
    </w:p>
    <w:p>
      <w:pPr>
        <w:ind w:left="0" w:firstLine="1200"/>
        <w:keepLines w:val="0"/>
        <w:keepNext w:val="0"/>
        <w:pageBreakBefore w:val="0"/>
        <w:spacing w:line="500" w:lineRule="atLeast"/>
        <w:widowControl w:val="off"/>
        <w:rPr>
          <w:rFonts w:hint="eastAsia" w:ascii="宋体" w:hAnsi="宋体" w:eastAsia="宋体" w:cs="宋体"/>
          <w:color w:val="000000" w:themeColor="text1"/>
          <w:sz w:val="30"/>
          <w:szCs w:val="30"/>
          <w:highlight w:val="none"/>
          <w:lang w:val="en-US" w:eastAsia="zh-CN"/>
          <w14:textFill>
            <w14:solidFill>
              <w14:schemeClr w14:val="tx1"/>
            </w14:solidFill>
          </w14:textFill>
        </w:rPr>
      </w:pPr>
      <w:r>
        <w:rPr>
          <w:rFonts w:hint="eastAsia" w:ascii="宋体" w:hAnsi="宋体" w:eastAsia="宋体" w:cs="宋体"/>
          <w:color w:val="000000" w:themeColor="text1"/>
          <w:sz w:val="30"/>
          <w:szCs w:val="30"/>
          <w:highlight w:val="none"/>
          <w:lang w:val="en-US" w:eastAsia="zh-CN"/>
          <w14:textFill>
            <w14:solidFill>
              <w14:schemeClr w14:val="tx1"/>
            </w14:solidFill>
          </w14:textFill>
        </w:rPr>
        <w:t xml:space="preserve">采 购 人：丰县大数据管理中心</w:t>
      </w:r>
      <w:r/>
    </w:p>
    <w:p>
      <w:pPr>
        <w:ind w:left="0" w:firstLine="1200"/>
        <w:keepLines w:val="0"/>
        <w:keepNext w:val="0"/>
        <w:pageBreakBefore w:val="0"/>
        <w:spacing w:line="500" w:lineRule="atLeast"/>
        <w:widowControl w:val="off"/>
        <w:rPr>
          <w:rFonts w:hint="default" w:ascii="宋体" w:hAnsi="宋体" w:eastAsia="宋体" w:cs="宋体"/>
          <w:color w:val="000000" w:themeColor="text1"/>
          <w:sz w:val="30"/>
          <w:szCs w:val="30"/>
          <w:highlight w:val="none"/>
          <w:lang w:val="en-US" w:eastAsia="zh-CN"/>
          <w14:textFill>
            <w14:solidFill>
              <w14:schemeClr w14:val="tx1"/>
            </w14:solidFill>
          </w14:textFill>
        </w:rPr>
      </w:pPr>
      <w:r>
        <w:rPr>
          <w:rFonts w:hint="default" w:ascii="宋体" w:hAnsi="宋体" w:eastAsia="宋体" w:cs="宋体"/>
          <w:color w:val="000000" w:themeColor="text1"/>
          <w:sz w:val="30"/>
          <w:szCs w:val="30"/>
          <w:highlight w:val="none"/>
          <w:lang w:val="en-US" w:eastAsia="zh-CN"/>
          <w14:textFill>
            <w14:solidFill>
              <w14:schemeClr w14:val="tx1"/>
            </w14:solidFill>
          </w14:textFill>
        </w:rPr>
      </w:r>
      <w:r/>
    </w:p>
    <w:p>
      <w:pPr>
        <w:ind w:left="600" w:firstLine="0"/>
        <w:spacing w:line="500" w:lineRule="atLeast"/>
        <w:rPr>
          <w:rFonts w:ascii="宋体" w:hAnsi="宋体" w:eastAsia="宋体" w:cs="宋体"/>
          <w:color w:val="000000" w:themeColor="text1"/>
          <w:sz w:val="30"/>
          <w:szCs w:val="30"/>
          <w:highlight w:val="none"/>
          <w:lang w:val="en-US" w:eastAsia="zh-CN"/>
          <w14:textFill>
            <w14:solidFill>
              <w14:schemeClr w14:val="tx1"/>
            </w14:solidFill>
          </w14:textFill>
        </w:rPr>
      </w:pPr>
      <w:r>
        <w:rPr>
          <w:rFonts w:ascii="宋体" w:hAnsi="宋体" w:eastAsia="宋体" w:cs="宋体"/>
          <w:color w:val="000000" w:themeColor="text1"/>
          <w:sz w:val="30"/>
          <w:szCs w:val="30"/>
          <w:highlight w:val="none"/>
          <w:lang w:val="en-US" w:eastAsia="zh-CN"/>
          <w14:textFill>
            <w14:solidFill>
              <w14:schemeClr w14:val="tx1"/>
            </w14:solidFill>
          </w14:textFill>
        </w:rPr>
      </w:r>
      <w:r/>
    </w:p>
    <w:p>
      <w:pPr>
        <w:ind w:firstLine="482"/>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pStyle w:val="131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8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144"/>
        <w:ind w:firstLine="42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14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640"/>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left="0" w:firstLine="0"/>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招标采购代理单位：丰县公共资源交易中心</w:t>
      </w:r>
      <w:r/>
    </w:p>
    <w:p>
      <w:pPr>
        <w:ind w:firstLine="0"/>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二〇二</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32"/>
          <w:szCs w:val="32"/>
          <w:highlight w:val="none"/>
          <w14:textFill>
            <w14:solidFill>
              <w14:schemeClr w14:val="tx1"/>
            </w14:solidFill>
          </w14:textFill>
        </w:rPr>
        <w:t xml:space="preserve">年</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32"/>
          <w:szCs w:val="32"/>
          <w:highlight w:val="none"/>
          <w14:textFill>
            <w14:solidFill>
              <w14:schemeClr w14:val="tx1"/>
            </w14:solidFill>
          </w14:textFill>
        </w:rPr>
        <w:t xml:space="preserve">月</w:t>
      </w:r>
      <w:r/>
    </w:p>
    <w:p>
      <w:pPr>
        <w:ind w:firstLine="0"/>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r>
      <w:r/>
    </w:p>
    <w:p>
      <w:pPr>
        <w:ind w:firstLine="0"/>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r>
      <w:r/>
    </w:p>
    <w:p>
      <w:pPr>
        <w:ind w:firstLine="0"/>
        <w:jc w:val="center"/>
        <w:rPr>
          <w:rFonts w:hint="eastAsia" w:ascii="宋体" w:hAnsi="宋体" w:eastAsia="宋体" w:cs="宋体"/>
          <w:b/>
          <w:bCs/>
          <w:color w:val="000000" w:themeColor="text1"/>
          <w:sz w:val="44"/>
          <w:szCs w:val="44"/>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r>
      <w:r/>
    </w:p>
    <w:p>
      <w:pPr>
        <w:pStyle w:val="1106"/>
        <w:rPr>
          <w:rFonts w:hint="eastAsia" w:ascii="宋体" w:hAnsi="宋体" w:eastAsia="宋体" w:cs="宋体"/>
          <w:b/>
          <w:bCs/>
          <w:color w:val="000000" w:themeColor="text1"/>
          <w:sz w:val="44"/>
          <w:szCs w:val="44"/>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0"/>
        <w:jc w:val="center"/>
        <w:rPr>
          <w:rFonts w:hint="eastAsia" w:ascii="宋体" w:hAnsi="宋体" w:eastAsia="宋体" w:cs="宋体"/>
          <w:b/>
          <w:bCs/>
          <w:color w:val="000000" w:themeColor="text1"/>
          <w:sz w:val="44"/>
          <w:szCs w:val="44"/>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t xml:space="preserve">总目录</w:t>
      </w:r>
      <w:r/>
    </w:p>
    <w:p>
      <w:pPr>
        <w:pStyle w:val="1144"/>
        <w:ind w:firstLine="562"/>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1147"/>
        <w:tabs>
          <w:tab w:val="right" w:pos="8306" w:leader="dot"/>
        </w:tabs>
        <w:rPr>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TOC \o "1-2" \h \z \u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HYPERLINK \l _Toc9375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14:textFill>
            <w14:solidFill>
              <w14:schemeClr w14:val="tx1"/>
            </w14:solidFill>
          </w14:textFill>
        </w:rPr>
        <w:t xml:space="preserve">第一章 </w:t>
      </w: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投标邀请</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_Toc28387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 xml:space="preserve">- </w:t>
      </w:r>
      <w:r>
        <w:rPr>
          <w:rFonts w:hint="eastAsia"/>
          <w:color w:val="000000" w:themeColor="text1"/>
          <w:sz w:val="28"/>
          <w:szCs w:val="28"/>
          <w:highlight w:val="none"/>
          <w:lang w:val="en-US" w:eastAsia="zh-CN"/>
          <w14:textFill>
            <w14:solidFill>
              <w14:schemeClr w14:val="tx1"/>
            </w14:solidFill>
          </w14:textFill>
        </w:rPr>
        <w:t xml:space="preserve">3</w:t>
      </w:r>
      <w:r>
        <w:rPr>
          <w:color w:val="000000" w:themeColor="text1"/>
          <w:sz w:val="28"/>
          <w:szCs w:val="28"/>
          <w:highlight w:val="none"/>
          <w14:textFill>
            <w14:solidFill>
              <w14:schemeClr w14:val="tx1"/>
            </w14:solidFill>
          </w14:textFill>
        </w:rPr>
        <w:t xml:space="preserve"> -</w:t>
      </w:r>
      <w:r>
        <w:rPr>
          <w:color w:val="000000" w:themeColor="text1"/>
          <w:sz w:val="28"/>
          <w:szCs w:val="28"/>
          <w:highlight w:val="none"/>
          <w14:textFill>
            <w14:solidFill>
              <w14:schemeClr w14:val="tx1"/>
            </w14:solidFill>
          </w14:textFill>
        </w:rPr>
        <w:fldChar w:fldCharType="end"/>
      </w:r>
      <w:r>
        <w:rPr>
          <w:rFonts w:hint="eastAsia" w:ascii="宋体" w:hAnsi="宋体" w:eastAsia="宋体" w:cs="宋体"/>
          <w:color w:val="000000" w:themeColor="text1"/>
          <w:sz w:val="28"/>
          <w:szCs w:val="28"/>
          <w:highlight w:val="none"/>
          <w14:textFill>
            <w14:solidFill>
              <w14:schemeClr w14:val="tx1"/>
            </w14:solidFill>
          </w14:textFill>
        </w:rPr>
        <w:fldChar w:fldCharType="end"/>
      </w:r>
      <w:r/>
    </w:p>
    <w:p>
      <w:pPr>
        <w:pStyle w:val="1147"/>
        <w:tabs>
          <w:tab w:val="right" w:pos="8306" w:leader="dot"/>
        </w:tabs>
        <w:rPr>
          <w:color w:val="000000" w:themeColor="text1"/>
          <w:sz w:val="28"/>
          <w:szCs w:val="28"/>
          <w:highlight w:val="none"/>
          <w14:textFill>
            <w14:solidFill>
              <w14:schemeClr w14:val="tx1"/>
            </w14:solidFill>
          </w14:textFill>
        </w:rPr>
      </w:pPr>
      <w:r>
        <w:rPr>
          <w:rFonts w:hint="eastAsia" w:ascii="宋体" w:hAnsi="宋体" w:eastAsia="宋体" w:cs="宋体"/>
          <w:bCs w:val="0"/>
          <w:caps w:val="0"/>
          <w:color w:val="000000" w:themeColor="text1"/>
          <w:sz w:val="28"/>
          <w:szCs w:val="28"/>
          <w:highlight w:val="none"/>
          <w14:textFill>
            <w14:solidFill>
              <w14:schemeClr w14:val="tx1"/>
            </w14:solidFill>
          </w14:textFill>
        </w:rPr>
        <w:fldChar w:fldCharType="begin"/>
      </w:r>
      <w:r>
        <w:rPr>
          <w:rFonts w:hint="eastAsia" w:ascii="宋体" w:hAnsi="宋体" w:eastAsia="宋体" w:cs="宋体"/>
          <w:bCs w:val="0"/>
          <w:caps w:val="0"/>
          <w:color w:val="000000" w:themeColor="text1"/>
          <w:sz w:val="28"/>
          <w:szCs w:val="28"/>
          <w:highlight w:val="none"/>
          <w14:textFill>
            <w14:solidFill>
              <w14:schemeClr w14:val="tx1"/>
            </w14:solidFill>
          </w14:textFill>
        </w:rPr>
        <w:instrText xml:space="preserve"> HYPERLINK \l _Toc28387 </w:instrText>
      </w:r>
      <w:r>
        <w:rPr>
          <w:rFonts w:hint="eastAsia" w:ascii="宋体" w:hAnsi="宋体" w:eastAsia="宋体" w:cs="宋体"/>
          <w:bCs w:val="0"/>
          <w:caps w:val="0"/>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14:textFill>
            <w14:solidFill>
              <w14:schemeClr w14:val="tx1"/>
            </w14:solidFill>
          </w14:textFill>
        </w:rPr>
        <w:t xml:space="preserve">第二章 投标人须知</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_Toc28387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 xml:space="preserve">- 4 -</w:t>
      </w:r>
      <w:r>
        <w:rPr>
          <w:color w:val="000000" w:themeColor="text1"/>
          <w:sz w:val="28"/>
          <w:szCs w:val="28"/>
          <w:highlight w:val="none"/>
          <w14:textFill>
            <w14:solidFill>
              <w14:schemeClr w14:val="tx1"/>
            </w14:solidFill>
          </w14:textFill>
        </w:rPr>
        <w:fldChar w:fldCharType="end"/>
      </w:r>
      <w:r>
        <w:rPr>
          <w:rFonts w:hint="eastAsia" w:ascii="宋体" w:hAnsi="宋体" w:eastAsia="宋体" w:cs="宋体"/>
          <w:bCs w:val="0"/>
          <w:caps w:val="0"/>
          <w:color w:val="000000" w:themeColor="text1"/>
          <w:sz w:val="28"/>
          <w:szCs w:val="28"/>
          <w:highlight w:val="none"/>
          <w14:textFill>
            <w14:solidFill>
              <w14:schemeClr w14:val="tx1"/>
            </w14:solidFill>
          </w14:textFill>
        </w:rPr>
        <w:fldChar w:fldCharType="end"/>
      </w:r>
      <w:r/>
    </w:p>
    <w:p>
      <w:pPr>
        <w:pStyle w:val="1147"/>
        <w:tabs>
          <w:tab w:val="right" w:pos="8306" w:leader="dot"/>
        </w:tabs>
        <w:rPr>
          <w:color w:val="000000" w:themeColor="text1"/>
          <w:sz w:val="28"/>
          <w:szCs w:val="28"/>
          <w:highlight w:val="none"/>
          <w14:textFill>
            <w14:solidFill>
              <w14:schemeClr w14:val="tx1"/>
            </w14:solidFill>
          </w14:textFill>
        </w:rPr>
      </w:pPr>
      <w:r>
        <w:rPr>
          <w:rFonts w:hint="eastAsia" w:ascii="宋体" w:hAnsi="宋体" w:eastAsia="宋体" w:cs="宋体"/>
          <w:bCs w:val="0"/>
          <w:caps w:val="0"/>
          <w:color w:val="000000" w:themeColor="text1"/>
          <w:sz w:val="28"/>
          <w:szCs w:val="28"/>
          <w:highlight w:val="none"/>
          <w14:textFill>
            <w14:solidFill>
              <w14:schemeClr w14:val="tx1"/>
            </w14:solidFill>
          </w14:textFill>
        </w:rPr>
        <w:fldChar w:fldCharType="begin"/>
      </w:r>
      <w:r>
        <w:rPr>
          <w:rFonts w:hint="eastAsia" w:ascii="宋体" w:hAnsi="宋体" w:eastAsia="宋体" w:cs="宋体"/>
          <w:bCs w:val="0"/>
          <w:caps w:val="0"/>
          <w:color w:val="000000" w:themeColor="text1"/>
          <w:sz w:val="28"/>
          <w:szCs w:val="28"/>
          <w:highlight w:val="none"/>
          <w14:textFill>
            <w14:solidFill>
              <w14:schemeClr w14:val="tx1"/>
            </w14:solidFill>
          </w14:textFill>
        </w:rPr>
        <w:instrText xml:space="preserve"> HYPERLINK \l _Toc23298 </w:instrText>
      </w:r>
      <w:r>
        <w:rPr>
          <w:rFonts w:hint="eastAsia" w:ascii="宋体" w:hAnsi="宋体" w:eastAsia="宋体" w:cs="宋体"/>
          <w:bCs w:val="0"/>
          <w:caps w:val="0"/>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第三章 投标资料表</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_Toc23298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 xml:space="preserve">- 1</w:t>
      </w:r>
      <w:r>
        <w:rPr>
          <w:rFonts w:hint="eastAsia"/>
          <w:color w:val="000000" w:themeColor="text1"/>
          <w:sz w:val="28"/>
          <w:szCs w:val="28"/>
          <w:highlight w:val="none"/>
          <w:lang w:val="en-US" w:eastAsia="zh-CN"/>
          <w14:textFill>
            <w14:solidFill>
              <w14:schemeClr w14:val="tx1"/>
            </w14:solidFill>
          </w14:textFill>
        </w:rPr>
        <w:t xml:space="preserve">7</w:t>
      </w:r>
      <w:r>
        <w:rPr>
          <w:color w:val="000000" w:themeColor="text1"/>
          <w:sz w:val="28"/>
          <w:szCs w:val="28"/>
          <w:highlight w:val="none"/>
          <w14:textFill>
            <w14:solidFill>
              <w14:schemeClr w14:val="tx1"/>
            </w14:solidFill>
          </w14:textFill>
        </w:rPr>
        <w:t xml:space="preserve"> -</w:t>
      </w:r>
      <w:r>
        <w:rPr>
          <w:color w:val="000000" w:themeColor="text1"/>
          <w:sz w:val="28"/>
          <w:szCs w:val="28"/>
          <w:highlight w:val="none"/>
          <w14:textFill>
            <w14:solidFill>
              <w14:schemeClr w14:val="tx1"/>
            </w14:solidFill>
          </w14:textFill>
        </w:rPr>
        <w:fldChar w:fldCharType="end"/>
      </w:r>
      <w:r>
        <w:rPr>
          <w:rFonts w:hint="eastAsia" w:ascii="宋体" w:hAnsi="宋体" w:eastAsia="宋体" w:cs="宋体"/>
          <w:bCs w:val="0"/>
          <w:caps w:val="0"/>
          <w:color w:val="000000" w:themeColor="text1"/>
          <w:sz w:val="28"/>
          <w:szCs w:val="28"/>
          <w:highlight w:val="none"/>
          <w14:textFill>
            <w14:solidFill>
              <w14:schemeClr w14:val="tx1"/>
            </w14:solidFill>
          </w14:textFill>
        </w:rPr>
        <w:fldChar w:fldCharType="end"/>
      </w:r>
      <w:r/>
    </w:p>
    <w:p>
      <w:pPr>
        <w:pStyle w:val="1147"/>
        <w:tabs>
          <w:tab w:val="right" w:pos="8306" w:leader="dot"/>
        </w:tabs>
        <w:rPr>
          <w:color w:val="000000" w:themeColor="text1"/>
          <w:sz w:val="28"/>
          <w:szCs w:val="28"/>
          <w:highlight w:val="none"/>
          <w14:textFill>
            <w14:solidFill>
              <w14:schemeClr w14:val="tx1"/>
            </w14:solidFill>
          </w14:textFill>
        </w:rPr>
      </w:pPr>
      <w:r>
        <w:rPr>
          <w:rFonts w:hint="eastAsia" w:ascii="宋体" w:hAnsi="宋体" w:eastAsia="宋体" w:cs="宋体"/>
          <w:bCs w:val="0"/>
          <w:caps w:val="0"/>
          <w:color w:val="000000" w:themeColor="text1"/>
          <w:sz w:val="28"/>
          <w:szCs w:val="28"/>
          <w:highlight w:val="none"/>
          <w14:textFill>
            <w14:solidFill>
              <w14:schemeClr w14:val="tx1"/>
            </w14:solidFill>
          </w14:textFill>
        </w:rPr>
        <w:fldChar w:fldCharType="begin"/>
      </w:r>
      <w:r>
        <w:rPr>
          <w:rFonts w:hint="eastAsia" w:ascii="宋体" w:hAnsi="宋体" w:eastAsia="宋体" w:cs="宋体"/>
          <w:bCs w:val="0"/>
          <w:caps w:val="0"/>
          <w:color w:val="000000" w:themeColor="text1"/>
          <w:sz w:val="28"/>
          <w:szCs w:val="28"/>
          <w:highlight w:val="none"/>
          <w14:textFill>
            <w14:solidFill>
              <w14:schemeClr w14:val="tx1"/>
            </w14:solidFill>
          </w14:textFill>
        </w:rPr>
        <w:instrText xml:space="preserve"> HYPERLINK \l _Toc9360 </w:instrText>
      </w:r>
      <w:r>
        <w:rPr>
          <w:rFonts w:hint="eastAsia" w:ascii="宋体" w:hAnsi="宋体" w:eastAsia="宋体" w:cs="宋体"/>
          <w:bCs w:val="0"/>
          <w:caps w:val="0"/>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第四章 评标标准</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_Toc9360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 xml:space="preserve">- 29 -</w:t>
      </w:r>
      <w:r>
        <w:rPr>
          <w:color w:val="000000" w:themeColor="text1"/>
          <w:sz w:val="28"/>
          <w:szCs w:val="28"/>
          <w:highlight w:val="none"/>
          <w14:textFill>
            <w14:solidFill>
              <w14:schemeClr w14:val="tx1"/>
            </w14:solidFill>
          </w14:textFill>
        </w:rPr>
        <w:fldChar w:fldCharType="end"/>
      </w:r>
      <w:r>
        <w:rPr>
          <w:rFonts w:hint="eastAsia" w:ascii="宋体" w:hAnsi="宋体" w:eastAsia="宋体" w:cs="宋体"/>
          <w:bCs w:val="0"/>
          <w:caps w:val="0"/>
          <w:color w:val="000000" w:themeColor="text1"/>
          <w:sz w:val="28"/>
          <w:szCs w:val="28"/>
          <w:highlight w:val="none"/>
          <w14:textFill>
            <w14:solidFill>
              <w14:schemeClr w14:val="tx1"/>
            </w14:solidFill>
          </w14:textFill>
        </w:rPr>
        <w:fldChar w:fldCharType="end"/>
      </w:r>
      <w:r/>
    </w:p>
    <w:p>
      <w:pPr>
        <w:pStyle w:val="1147"/>
        <w:tabs>
          <w:tab w:val="right" w:pos="8306" w:leader="dot"/>
        </w:tabs>
        <w:rPr>
          <w:color w:val="000000" w:themeColor="text1"/>
          <w:sz w:val="28"/>
          <w:szCs w:val="28"/>
          <w:highlight w:val="none"/>
          <w14:textFill>
            <w14:solidFill>
              <w14:schemeClr w14:val="tx1"/>
            </w14:solidFill>
          </w14:textFill>
        </w:rPr>
      </w:pPr>
      <w:r>
        <w:rPr>
          <w:rFonts w:hint="eastAsia" w:ascii="宋体" w:hAnsi="宋体" w:eastAsia="宋体" w:cs="宋体"/>
          <w:bCs w:val="0"/>
          <w:caps w:val="0"/>
          <w:color w:val="000000" w:themeColor="text1"/>
          <w:sz w:val="28"/>
          <w:szCs w:val="28"/>
          <w:highlight w:val="none"/>
          <w14:textFill>
            <w14:solidFill>
              <w14:schemeClr w14:val="tx1"/>
            </w14:solidFill>
          </w14:textFill>
        </w:rPr>
        <w:fldChar w:fldCharType="begin"/>
      </w:r>
      <w:r>
        <w:rPr>
          <w:rFonts w:hint="eastAsia" w:ascii="宋体" w:hAnsi="宋体" w:eastAsia="宋体" w:cs="宋体"/>
          <w:bCs w:val="0"/>
          <w:caps w:val="0"/>
          <w:color w:val="000000" w:themeColor="text1"/>
          <w:sz w:val="28"/>
          <w:szCs w:val="28"/>
          <w:highlight w:val="none"/>
          <w14:textFill>
            <w14:solidFill>
              <w14:schemeClr w14:val="tx1"/>
            </w14:solidFill>
          </w14:textFill>
        </w:rPr>
        <w:instrText xml:space="preserve"> HYPERLINK \l _Toc4628 </w:instrText>
      </w:r>
      <w:r>
        <w:rPr>
          <w:rFonts w:hint="eastAsia" w:ascii="宋体" w:hAnsi="宋体" w:eastAsia="宋体" w:cs="宋体"/>
          <w:bCs w:val="0"/>
          <w:caps w:val="0"/>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14:textFill>
            <w14:solidFill>
              <w14:schemeClr w14:val="tx1"/>
            </w14:solidFill>
          </w14:textFill>
        </w:rPr>
        <w:t xml:space="preserve">第五章 拟签订的合同文本</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_Toc4628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 xml:space="preserve">- 31 -</w:t>
      </w:r>
      <w:r>
        <w:rPr>
          <w:color w:val="000000" w:themeColor="text1"/>
          <w:sz w:val="28"/>
          <w:szCs w:val="28"/>
          <w:highlight w:val="none"/>
          <w14:textFill>
            <w14:solidFill>
              <w14:schemeClr w14:val="tx1"/>
            </w14:solidFill>
          </w14:textFill>
        </w:rPr>
        <w:fldChar w:fldCharType="end"/>
      </w:r>
      <w:r>
        <w:rPr>
          <w:rFonts w:hint="eastAsia" w:ascii="宋体" w:hAnsi="宋体" w:eastAsia="宋体" w:cs="宋体"/>
          <w:bCs w:val="0"/>
          <w:caps w:val="0"/>
          <w:color w:val="000000" w:themeColor="text1"/>
          <w:sz w:val="28"/>
          <w:szCs w:val="28"/>
          <w:highlight w:val="none"/>
          <w14:textFill>
            <w14:solidFill>
              <w14:schemeClr w14:val="tx1"/>
            </w14:solidFill>
          </w14:textFill>
        </w:rPr>
        <w:fldChar w:fldCharType="end"/>
      </w:r>
      <w:r/>
    </w:p>
    <w:p>
      <w:pPr>
        <w:pStyle w:val="1147"/>
        <w:tabs>
          <w:tab w:val="right" w:pos="8306" w:leader="dot"/>
        </w:tabs>
        <w:rPr>
          <w:color w:val="000000" w:themeColor="text1"/>
          <w:sz w:val="28"/>
          <w:szCs w:val="28"/>
          <w:highlight w:val="none"/>
          <w14:textFill>
            <w14:solidFill>
              <w14:schemeClr w14:val="tx1"/>
            </w14:solidFill>
          </w14:textFill>
        </w:rPr>
      </w:pPr>
      <w:r>
        <w:rPr>
          <w:rFonts w:hint="eastAsia" w:ascii="宋体" w:hAnsi="宋体" w:eastAsia="宋体" w:cs="宋体"/>
          <w:bCs w:val="0"/>
          <w:caps w:val="0"/>
          <w:color w:val="000000" w:themeColor="text1"/>
          <w:sz w:val="28"/>
          <w:szCs w:val="28"/>
          <w:highlight w:val="none"/>
          <w14:textFill>
            <w14:solidFill>
              <w14:schemeClr w14:val="tx1"/>
            </w14:solidFill>
          </w14:textFill>
        </w:rPr>
        <w:fldChar w:fldCharType="begin"/>
      </w:r>
      <w:r>
        <w:rPr>
          <w:rFonts w:hint="eastAsia" w:ascii="宋体" w:hAnsi="宋体" w:eastAsia="宋体" w:cs="宋体"/>
          <w:bCs w:val="0"/>
          <w:caps w:val="0"/>
          <w:color w:val="000000" w:themeColor="text1"/>
          <w:sz w:val="28"/>
          <w:szCs w:val="28"/>
          <w:highlight w:val="none"/>
          <w14:textFill>
            <w14:solidFill>
              <w14:schemeClr w14:val="tx1"/>
            </w14:solidFill>
          </w14:textFill>
        </w:rPr>
        <w:instrText xml:space="preserve"> HYPERLINK \l _Toc20278 </w:instrText>
      </w:r>
      <w:r>
        <w:rPr>
          <w:rFonts w:hint="eastAsia" w:ascii="宋体" w:hAnsi="宋体" w:eastAsia="宋体" w:cs="宋体"/>
          <w:bCs w:val="0"/>
          <w:caps w:val="0"/>
          <w:color w:val="000000" w:themeColor="text1"/>
          <w:sz w:val="28"/>
          <w:szCs w:val="28"/>
          <w:highlight w:val="none"/>
          <w14:textFill>
            <w14:solidFill>
              <w14:schemeClr w14:val="tx1"/>
            </w14:solidFill>
          </w14:textFill>
        </w:rPr>
        <w:fldChar w:fldCharType="separate"/>
      </w:r>
      <w:r>
        <w:rPr>
          <w:rFonts w:hint="eastAsia" w:ascii="宋体" w:hAnsi="宋体" w:eastAsia="宋体" w:cs="宋体"/>
          <w:bCs w:val="0"/>
          <w:color w:val="000000" w:themeColor="text1"/>
          <w:sz w:val="28"/>
          <w:szCs w:val="28"/>
          <w:highlight w:val="none"/>
          <w14:textFill>
            <w14:solidFill>
              <w14:schemeClr w14:val="tx1"/>
            </w14:solidFill>
          </w14:textFill>
        </w:rPr>
        <w:t xml:space="preserve">第六章 </w:t>
      </w:r>
      <w:r>
        <w:rPr>
          <w:rFonts w:hint="eastAsia" w:ascii="宋体" w:hAnsi="宋体" w:eastAsia="宋体" w:cs="宋体"/>
          <w:bCs/>
          <w:color w:val="000000" w:themeColor="text1"/>
          <w:sz w:val="28"/>
          <w:szCs w:val="28"/>
          <w:highlight w:val="none"/>
          <w14:textFill>
            <w14:solidFill>
              <w14:schemeClr w14:val="tx1"/>
            </w14:solidFill>
          </w14:textFill>
        </w:rPr>
        <w:t xml:space="preserve">采购需求</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_Toc20278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 xml:space="preserve">- 48 -</w:t>
      </w:r>
      <w:r>
        <w:rPr>
          <w:color w:val="000000" w:themeColor="text1"/>
          <w:sz w:val="28"/>
          <w:szCs w:val="28"/>
          <w:highlight w:val="none"/>
          <w14:textFill>
            <w14:solidFill>
              <w14:schemeClr w14:val="tx1"/>
            </w14:solidFill>
          </w14:textFill>
        </w:rPr>
        <w:fldChar w:fldCharType="end"/>
      </w:r>
      <w:r>
        <w:rPr>
          <w:rFonts w:hint="eastAsia" w:ascii="宋体" w:hAnsi="宋体" w:eastAsia="宋体" w:cs="宋体"/>
          <w:bCs w:val="0"/>
          <w:caps w:val="0"/>
          <w:color w:val="000000" w:themeColor="text1"/>
          <w:sz w:val="28"/>
          <w:szCs w:val="28"/>
          <w:highlight w:val="none"/>
          <w14:textFill>
            <w14:solidFill>
              <w14:schemeClr w14:val="tx1"/>
            </w14:solidFill>
          </w14:textFill>
        </w:rPr>
        <w:fldChar w:fldCharType="end"/>
      </w:r>
      <w:r/>
    </w:p>
    <w:p>
      <w:pPr>
        <w:pStyle w:val="1147"/>
        <w:tabs>
          <w:tab w:val="right" w:pos="8306" w:leader="dot"/>
        </w:tabs>
        <w:rPr>
          <w:rFonts w:hint="eastAsia" w:eastAsia="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bCs w:val="0"/>
          <w:caps w:val="0"/>
          <w:color w:val="000000" w:themeColor="text1"/>
          <w:sz w:val="28"/>
          <w:szCs w:val="28"/>
          <w:highlight w:val="none"/>
          <w14:textFill>
            <w14:solidFill>
              <w14:schemeClr w14:val="tx1"/>
            </w14:solidFill>
          </w14:textFill>
        </w:rPr>
        <w:fldChar w:fldCharType="begin"/>
      </w:r>
      <w:r>
        <w:rPr>
          <w:rFonts w:hint="eastAsia" w:ascii="宋体" w:hAnsi="宋体" w:eastAsia="宋体" w:cs="宋体"/>
          <w:bCs w:val="0"/>
          <w:caps w:val="0"/>
          <w:color w:val="000000" w:themeColor="text1"/>
          <w:sz w:val="28"/>
          <w:szCs w:val="28"/>
          <w:highlight w:val="none"/>
          <w14:textFill>
            <w14:solidFill>
              <w14:schemeClr w14:val="tx1"/>
            </w14:solidFill>
          </w14:textFill>
        </w:rPr>
        <w:instrText xml:space="preserve"> HYPERLINK \l _Toc4773 </w:instrText>
      </w:r>
      <w:r>
        <w:rPr>
          <w:rFonts w:hint="eastAsia" w:ascii="宋体" w:hAnsi="宋体" w:eastAsia="宋体" w:cs="宋体"/>
          <w:bCs w:val="0"/>
          <w:caps w:val="0"/>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第七章 投标文件相关格式</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_Toc20278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 xml:space="preserve">- </w:t>
      </w:r>
      <w:r>
        <w:rPr>
          <w:rFonts w:hint="eastAsia"/>
          <w:color w:val="000000" w:themeColor="text1"/>
          <w:sz w:val="28"/>
          <w:szCs w:val="28"/>
          <w:highlight w:val="none"/>
          <w:lang w:val="en-US" w:eastAsia="zh-CN"/>
          <w14:textFill>
            <w14:solidFill>
              <w14:schemeClr w14:val="tx1"/>
            </w14:solidFill>
          </w14:textFill>
        </w:rPr>
        <w:t xml:space="preserve">72</w:t>
      </w:r>
      <w:r>
        <w:rPr>
          <w:color w:val="000000" w:themeColor="text1"/>
          <w:sz w:val="28"/>
          <w:szCs w:val="28"/>
          <w:highlight w:val="none"/>
          <w14:textFill>
            <w14:solidFill>
              <w14:schemeClr w14:val="tx1"/>
            </w14:solidFill>
          </w14:textFill>
        </w:rPr>
        <w:t xml:space="preserve"> -</w:t>
      </w:r>
      <w:r>
        <w:rPr>
          <w:color w:val="000000" w:themeColor="text1"/>
          <w:sz w:val="28"/>
          <w:szCs w:val="28"/>
          <w:highlight w:val="none"/>
          <w14:textFill>
            <w14:solidFill>
              <w14:schemeClr w14:val="tx1"/>
            </w14:solidFill>
          </w14:textFill>
        </w:rPr>
        <w:fldChar w:fldCharType="end"/>
      </w:r>
      <w:r>
        <w:rPr>
          <w:rFonts w:hint="eastAsia" w:ascii="宋体" w:hAnsi="宋体" w:eastAsia="宋体" w:cs="宋体"/>
          <w:bCs w:val="0"/>
          <w:caps w:val="0"/>
          <w:color w:val="000000" w:themeColor="text1"/>
          <w:sz w:val="28"/>
          <w:szCs w:val="28"/>
          <w:highlight w:val="none"/>
          <w14:textFill>
            <w14:solidFill>
              <w14:schemeClr w14:val="tx1"/>
            </w14:solidFill>
          </w14:textFill>
        </w:rPr>
        <w:fldChar w:fldCharType="end"/>
      </w:r>
      <w:r/>
    </w:p>
    <w:p>
      <w:pPr>
        <w:ind w:firstLine="0"/>
        <w:spacing w:line="360" w:lineRule="auto"/>
        <w:rPr>
          <w:rFonts w:hint="eastAsia" w:ascii="宋体" w:hAnsi="宋体" w:eastAsia="宋体" w:cs="宋体"/>
          <w:color w:val="000000" w:themeColor="text1"/>
          <w:sz w:val="28"/>
          <w:szCs w:val="28"/>
          <w:highlight w:val="none"/>
          <w14:textFill>
            <w14:solidFill>
              <w14:schemeClr w14:val="tx1"/>
            </w14:solidFill>
          </w14:textFill>
        </w:rPr>
        <w:sectPr>
          <w:headerReference w:type="default" r:id="rId9"/>
          <w:headerReference w:type="even" r:id="rId10"/>
          <w:headerReference w:type="first" r:id="rId11"/>
          <w:footerReference w:type="default" r:id="rId20"/>
          <w:footerReference w:type="even" r:id="rId21"/>
          <w:footerReference w:type="first" r:id="rId2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Cs/>
          <w:caps/>
          <w:color w:val="000000" w:themeColor="text1"/>
          <w:sz w:val="28"/>
          <w:szCs w:val="28"/>
          <w:highlight w:val="none"/>
          <w14:textFill>
            <w14:solidFill>
              <w14:schemeClr w14:val="tx1"/>
            </w14:solidFill>
          </w14:textFill>
        </w:rPr>
        <w:fldChar w:fldCharType="end"/>
      </w:r>
      <w:bookmarkStart w:id="0" w:name="_Toc484939564"/>
      <w:r/>
      <w:bookmarkEnd w:id="0"/>
      <w:r/>
      <w:r/>
    </w:p>
    <w:p>
      <w:pPr>
        <w:ind w:firstLine="0"/>
        <w:jc w:val="center"/>
        <w:spacing w:line="360" w:lineRule="auto"/>
        <w:rPr>
          <w:rFonts w:ascii="宋体" w:hAnsi="宋体" w:eastAsia="宋体" w:cs="宋体"/>
          <w:b/>
          <w:color w:val="000000" w:themeColor="text1"/>
          <w:sz w:val="30"/>
          <w:szCs w:val="30"/>
          <w:highlight w:val="none"/>
          <w14:textFill>
            <w14:solidFill>
              <w14:schemeClr w14:val="tx1"/>
            </w14:solidFill>
          </w14:textFill>
        </w:rPr>
        <w:outlineLvl w:val="0"/>
      </w:pPr>
      <w:r/>
      <w:bookmarkStart w:id="1" w:name="_Toc5879"/>
      <w:r/>
      <w:bookmarkStart w:id="2" w:name="_Toc28359008"/>
      <w:r/>
      <w:bookmarkStart w:id="3" w:name="_Toc35393627"/>
      <w:r/>
      <w:bookmarkStart w:id="4" w:name="_Toc28359085"/>
      <w:r/>
      <w:bookmarkStart w:id="5" w:name="_Toc35393796"/>
      <w:r>
        <w:rPr>
          <w:rFonts w:hint="eastAsia" w:ascii="宋体" w:hAnsi="宋体" w:eastAsia="宋体" w:cs="宋体"/>
          <w:b/>
          <w:bCs/>
          <w:color w:val="000000" w:themeColor="text1"/>
          <w:sz w:val="36"/>
          <w:szCs w:val="36"/>
          <w:highlight w:val="none"/>
          <w14:textFill>
            <w14:solidFill>
              <w14:schemeClr w14:val="tx1"/>
            </w14:solidFill>
          </w14:textFill>
        </w:rPr>
        <w:t xml:space="preserve">第一章 </w:t>
      </w:r>
      <w:bookmarkEnd w:id="1"/>
      <w:r>
        <w:rPr>
          <w:rFonts w:hint="eastAsia" w:ascii="宋体" w:hAnsi="宋体" w:eastAsia="宋体" w:cs="宋体"/>
          <w:b/>
          <w:bCs/>
          <w:color w:val="000000" w:themeColor="text1"/>
          <w:sz w:val="36"/>
          <w:szCs w:val="36"/>
          <w:highlight w:val="none"/>
          <w14:textFill>
            <w14:solidFill>
              <w14:schemeClr w14:val="tx1"/>
            </w14:solidFill>
          </w14:textFill>
        </w:rPr>
        <w:t xml:space="preserve">投标邀请</w:t>
      </w:r>
      <w:r/>
    </w:p>
    <w:p>
      <w:pPr>
        <w:ind w:firstLine="480"/>
        <w:spacing w:line="440" w:lineRule="exac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丰县公共资源交易中心对</w:t>
      </w:r>
      <w:r>
        <w:rPr>
          <w:rFonts w:hint="eastAsia" w:ascii="宋体" w:hAnsi="宋体" w:eastAsia="宋体" w:cs="宋体"/>
          <w:color w:val="000000" w:themeColor="text1"/>
          <w:highlight w:val="none"/>
          <w:lang w:val="en-US" w:eastAsia="zh-CN"/>
          <w14:textFill>
            <w14:solidFill>
              <w14:schemeClr w14:val="tx1"/>
            </w14:solidFill>
          </w14:textFill>
        </w:rPr>
        <w:t xml:space="preserve">丰县云计算资源平台</w:t>
      </w:r>
      <w:r>
        <w:rPr>
          <w:rFonts w:hint="eastAsia" w:ascii="宋体" w:hAnsi="宋体" w:eastAsia="宋体" w:cs="宋体"/>
          <w:color w:val="000000" w:themeColor="text1"/>
          <w:highlight w:val="none"/>
          <w14:textFill>
            <w14:solidFill>
              <w14:schemeClr w14:val="tx1"/>
            </w14:solidFill>
          </w14:textFill>
        </w:rPr>
        <w:t xml:space="preserve">服务进行公开招标采购，现欢迎符合相关条件的供应商投标。</w:t>
      </w:r>
      <w:r/>
    </w:p>
    <w:p>
      <w:pPr>
        <w:ind w:firstLine="480"/>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一、项目名称和项目编号</w:t>
      </w:r>
      <w:r/>
    </w:p>
    <w:p>
      <w:pPr>
        <w:ind w:firstLine="480"/>
        <w:spacing w:line="44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项目名称：</w:t>
      </w:r>
      <w:r>
        <w:rPr>
          <w:rFonts w:hint="eastAsia" w:ascii="宋体" w:hAnsi="宋体" w:eastAsia="宋体" w:cs="宋体"/>
          <w:color w:val="000000" w:themeColor="text1"/>
          <w:highlight w:val="none"/>
          <w:lang w:val="en-US" w:eastAsia="zh-CN"/>
          <w14:textFill>
            <w14:solidFill>
              <w14:schemeClr w14:val="tx1"/>
            </w14:solidFill>
          </w14:textFill>
        </w:rPr>
        <w:t xml:space="preserve">丰县云计算资源平台</w:t>
      </w:r>
      <w:r>
        <w:rPr>
          <w:rFonts w:hint="eastAsia" w:ascii="宋体" w:hAnsi="宋体" w:eastAsia="宋体" w:cs="宋体"/>
          <w:color w:val="000000" w:themeColor="text1"/>
          <w:highlight w:val="none"/>
          <w14:textFill>
            <w14:solidFill>
              <w14:schemeClr w14:val="tx1"/>
            </w14:solidFill>
          </w14:textFill>
        </w:rPr>
        <w:t xml:space="preserve">服务</w:t>
      </w:r>
      <w:r/>
    </w:p>
    <w:p>
      <w:pPr>
        <w:ind w:firstLine="480"/>
        <w:spacing w:line="44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项目编号：</w:t>
      </w:r>
      <w:r>
        <w:rPr>
          <w:rFonts w:hint="eastAsia" w:ascii="宋体" w:hAnsi="宋体" w:eastAsia="宋体" w:cs="宋体"/>
          <w:color w:val="000000" w:themeColor="text1"/>
          <w:highlight w:val="none"/>
          <w:lang w:val="en-US" w:eastAsia="zh-CN"/>
          <w14:textFill>
            <w14:solidFill>
              <w14:schemeClr w14:val="tx1"/>
            </w14:solidFill>
          </w14:textFill>
        </w:rPr>
        <w:t xml:space="preserve">JSZC-320321-FXZX-G2026-0006</w:t>
      </w:r>
      <w:r/>
    </w:p>
    <w:p>
      <w:pPr>
        <w:ind w:firstLine="480"/>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二、投标人的资格要求：</w:t>
      </w:r>
      <w:r/>
    </w:p>
    <w:p>
      <w:pPr>
        <w:ind w:firstLine="480"/>
        <w:spacing w:line="440" w:lineRule="exac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见本项目公开招标公告。</w:t>
      </w:r>
      <w:r/>
    </w:p>
    <w:p>
      <w:pPr>
        <w:ind w:firstLine="480"/>
        <w:spacing w:line="440" w:lineRule="exac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三、获取招标文件的时间期限、地点、方式及招标文件售价</w:t>
      </w:r>
      <w:r/>
    </w:p>
    <w:p>
      <w:pPr>
        <w:ind w:firstLine="439"/>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bCs/>
          <w:color w:val="000000" w:themeColor="text1"/>
          <w:highlight w:val="none"/>
          <w14:textFill>
            <w14:solidFill>
              <w14:schemeClr w14:val="tx1"/>
            </w14:solidFill>
          </w14:textFill>
        </w:rPr>
        <w:t xml:space="preserve">时间（时间期限）、地点、方式：</w:t>
      </w:r>
      <w:r/>
    </w:p>
    <w:p>
      <w:pPr>
        <w:ind w:firstLine="480"/>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招标文件提供期限：自招标文件公告发布之日起5个工作日 </w:t>
      </w:r>
      <w:r/>
    </w:p>
    <w:p>
      <w:pPr>
        <w:ind w:firstLine="439"/>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地点：“苏采云”系统</w:t>
      </w:r>
      <w:r/>
    </w:p>
    <w:p>
      <w:pPr>
        <w:ind w:firstLine="480"/>
        <w:spacing w:line="44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方式：</w:t>
      </w:r>
      <w:r>
        <w:rPr>
          <w:rFonts w:hint="eastAsia" w:ascii="宋体" w:hAnsi="宋体" w:eastAsia="宋体" w:cs="宋体"/>
          <w:i w:val="0"/>
          <w:caps w:val="0"/>
          <w:color w:val="000000" w:themeColor="text1"/>
          <w:spacing w:val="0"/>
          <w:sz w:val="24"/>
          <w:szCs w:val="24"/>
          <w:highlight w:val="none"/>
          <w14:textFill>
            <w14:solidFill>
              <w14:schemeClr w14:val="tx1"/>
            </w14:solidFill>
          </w14:textFill>
        </w:rPr>
        <w:t xml:space="preserve">自行下载</w:t>
      </w:r>
      <w:r/>
    </w:p>
    <w:p>
      <w:pPr>
        <w:ind w:firstLine="439"/>
        <w:spacing w:line="440" w:lineRule="exac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2．招标文件售价：免费</w:t>
      </w:r>
      <w:r/>
    </w:p>
    <w:p>
      <w:pPr>
        <w:ind w:firstLine="480"/>
        <w:spacing w:line="440" w:lineRule="exac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四、投标有关信息</w:t>
      </w:r>
      <w:r/>
    </w:p>
    <w:p>
      <w:pPr>
        <w:ind w:firstLine="480"/>
        <w:spacing w:line="440" w:lineRule="exac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1.投标截止时间：</w:t>
      </w:r>
      <w:r>
        <w:rPr>
          <w:rFonts w:hint="eastAsia" w:ascii="宋体" w:hAnsi="宋体" w:eastAsia="宋体" w:cs="宋体"/>
          <w:color w:val="ff0000"/>
          <w:highlight w:val="none"/>
        </w:rPr>
        <w:t xml:space="preserve">202</w:t>
      </w:r>
      <w:r>
        <w:rPr>
          <w:rFonts w:hint="eastAsia" w:ascii="宋体" w:hAnsi="宋体" w:eastAsia="宋体" w:cs="宋体"/>
          <w:color w:val="ff0000"/>
          <w:highlight w:val="none"/>
          <w:lang w:val="en-US" w:eastAsia="zh-CN"/>
        </w:rPr>
        <w:t xml:space="preserve">6</w:t>
      </w:r>
      <w:r>
        <w:rPr>
          <w:rFonts w:hint="eastAsia" w:ascii="宋体" w:hAnsi="宋体" w:eastAsia="宋体" w:cs="宋体"/>
          <w:color w:val="ff0000"/>
          <w:highlight w:val="none"/>
        </w:rPr>
        <w:t xml:space="preserve">年</w:t>
      </w:r>
      <w:r>
        <w:rPr>
          <w:rFonts w:hint="eastAsia" w:ascii="宋体" w:hAnsi="宋体" w:eastAsia="宋体" w:cs="宋体"/>
          <w:color w:val="ff0000"/>
          <w:highlight w:val="none"/>
          <w:lang w:val="en-US" w:eastAsia="zh-CN"/>
        </w:rPr>
        <w:t xml:space="preserve">6</w:t>
      </w:r>
      <w:r>
        <w:rPr>
          <w:rFonts w:hint="eastAsia" w:ascii="宋体" w:hAnsi="宋体" w:eastAsia="宋体" w:cs="宋体"/>
          <w:color w:val="ff0000"/>
          <w:highlight w:val="none"/>
        </w:rPr>
        <w:t xml:space="preserve">月</w:t>
      </w:r>
      <w:r>
        <w:rPr>
          <w:rFonts w:hint="eastAsia" w:ascii="宋体" w:hAnsi="宋体" w:eastAsia="宋体" w:cs="宋体"/>
          <w:color w:val="ff0000"/>
          <w:highlight w:val="none"/>
          <w:lang w:val="en-US" w:eastAsia="zh-CN"/>
        </w:rPr>
        <w:t xml:space="preserve">18</w:t>
      </w:r>
      <w:r>
        <w:rPr>
          <w:rFonts w:hint="eastAsia" w:ascii="宋体" w:hAnsi="宋体" w:eastAsia="宋体" w:cs="宋体"/>
          <w:color w:val="ff0000"/>
          <w:highlight w:val="none"/>
        </w:rPr>
        <w:t xml:space="preserve">日</w:t>
      </w:r>
      <w:r>
        <w:rPr>
          <w:rFonts w:hint="eastAsia" w:ascii="宋体" w:hAnsi="宋体" w:eastAsia="宋体" w:cs="宋体"/>
          <w:color w:val="000000" w:themeColor="text1"/>
          <w:highlight w:val="none"/>
          <w14:textFill>
            <w14:solidFill>
              <w14:schemeClr w14:val="tx1"/>
            </w14:solidFill>
          </w14:textFill>
        </w:rPr>
        <w:t xml:space="preserve">9：30（电子招标投标交易平台（即“苏采云”系统）的国家授时中心标准时间，下同）</w:t>
      </w:r>
      <w:r/>
    </w:p>
    <w:p>
      <w:pPr>
        <w:ind w:firstLine="480"/>
        <w:spacing w:line="440" w:lineRule="exac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2.开标时间：</w:t>
      </w:r>
      <w:r>
        <w:rPr>
          <w:rFonts w:hint="eastAsia" w:ascii="宋体" w:hAnsi="宋体" w:eastAsia="宋体" w:cs="宋体"/>
          <w:color w:val="ff0000"/>
          <w:highlight w:val="none"/>
        </w:rPr>
        <w:t xml:space="preserve">202</w:t>
      </w:r>
      <w:r>
        <w:rPr>
          <w:rFonts w:hint="eastAsia" w:ascii="宋体" w:hAnsi="宋体" w:eastAsia="宋体" w:cs="宋体"/>
          <w:color w:val="ff0000"/>
          <w:highlight w:val="none"/>
          <w:lang w:val="en-US" w:eastAsia="zh-CN"/>
        </w:rPr>
        <w:t xml:space="preserve">6</w:t>
      </w:r>
      <w:r>
        <w:rPr>
          <w:rFonts w:hint="eastAsia" w:ascii="宋体" w:hAnsi="宋体" w:eastAsia="宋体" w:cs="宋体"/>
          <w:color w:val="ff0000"/>
          <w:highlight w:val="none"/>
        </w:rPr>
        <w:t xml:space="preserve">年</w:t>
      </w:r>
      <w:r>
        <w:rPr>
          <w:rFonts w:hint="eastAsia" w:ascii="宋体" w:hAnsi="宋体" w:eastAsia="宋体" w:cs="宋体"/>
          <w:color w:val="ff0000"/>
          <w:highlight w:val="none"/>
          <w:lang w:val="en-US" w:eastAsia="zh-CN"/>
        </w:rPr>
        <w:t xml:space="preserve">6</w:t>
      </w:r>
      <w:r>
        <w:rPr>
          <w:rFonts w:hint="eastAsia" w:ascii="宋体" w:hAnsi="宋体" w:eastAsia="宋体" w:cs="宋体"/>
          <w:color w:val="ff0000"/>
          <w:highlight w:val="none"/>
        </w:rPr>
        <w:t xml:space="preserve">月</w:t>
      </w:r>
      <w:r>
        <w:rPr>
          <w:rFonts w:hint="eastAsia" w:ascii="宋体" w:hAnsi="宋体" w:eastAsia="宋体" w:cs="宋体"/>
          <w:color w:val="ff0000"/>
          <w:highlight w:val="none"/>
          <w:lang w:val="en-US" w:eastAsia="zh-CN"/>
        </w:rPr>
        <w:t xml:space="preserve">18</w:t>
      </w:r>
      <w:r>
        <w:rPr>
          <w:rFonts w:hint="eastAsia" w:ascii="宋体" w:hAnsi="宋体" w:eastAsia="宋体" w:cs="宋体"/>
          <w:color w:val="ff0000"/>
          <w:highlight w:val="none"/>
        </w:rPr>
        <w:t xml:space="preserve"> </w:t>
      </w:r>
      <w:r>
        <w:rPr>
          <w:rFonts w:hint="eastAsia" w:ascii="宋体" w:hAnsi="宋体" w:eastAsia="宋体" w:cs="宋体"/>
          <w:color w:val="ff0000"/>
          <w:highlight w:val="none"/>
          <w:lang w:val="en-US" w:eastAsia="zh-CN"/>
        </w:rPr>
        <w:t xml:space="preserve"> </w:t>
      </w:r>
      <w:r>
        <w:rPr>
          <w:rFonts w:hint="eastAsia" w:ascii="宋体" w:hAnsi="宋体" w:eastAsia="宋体" w:cs="宋体"/>
          <w:color w:val="ff0000"/>
          <w:highlight w:val="none"/>
        </w:rPr>
        <w:t xml:space="preserve">日</w:t>
      </w:r>
      <w:r>
        <w:rPr>
          <w:rFonts w:hint="eastAsia" w:ascii="宋体" w:hAnsi="宋体" w:eastAsia="宋体" w:cs="宋体"/>
          <w:color w:val="000000" w:themeColor="text1"/>
          <w:highlight w:val="none"/>
          <w14:textFill>
            <w14:solidFill>
              <w14:schemeClr w14:val="tx1"/>
            </w14:solidFill>
          </w14:textFill>
        </w:rPr>
        <w:t xml:space="preserve">9：30</w:t>
      </w:r>
      <w:r/>
    </w:p>
    <w:p>
      <w:pPr>
        <w:ind w:firstLine="480"/>
        <w:spacing w:line="440" w:lineRule="exact"/>
        <w:rPr>
          <w:rFonts w:ascii="宋体" w:hAnsi="宋体" w:eastAsia="宋体" w:cs="宋体"/>
          <w:bCs/>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3.开标地点：“苏采云”系统（网址： http://jszfcg.jsczt.cn/）“开标大厅”或进入徐州政府采购网（网址：https://czj.xz.gov.cn/zfcg/）-业务工作-用户登录，点击“苏采云”进入系统“开标大厅”。 </w:t>
      </w:r>
      <w:r/>
    </w:p>
    <w:p>
      <w:pPr>
        <w:ind w:firstLine="480"/>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五、采购人</w:t>
      </w:r>
      <w:r/>
    </w:p>
    <w:p>
      <w:pPr>
        <w:ind w:firstLine="480"/>
        <w:spacing w:line="440" w:lineRule="exact"/>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1.名称：</w:t>
      </w:r>
      <w:r>
        <w:rPr>
          <w:rFonts w:hint="eastAsia" w:ascii="宋体" w:hAnsi="宋体" w:eastAsia="宋体" w:cs="宋体"/>
          <w:color w:val="000000" w:themeColor="text1"/>
          <w:highlight w:val="none"/>
          <w:lang w:val="en-US" w:eastAsia="zh-CN"/>
          <w14:textFill>
            <w14:solidFill>
              <w14:schemeClr w14:val="tx1"/>
            </w14:solidFill>
          </w14:textFill>
        </w:rPr>
        <w:t xml:space="preserve">丰县</w:t>
      </w:r>
      <w:r>
        <w:rPr>
          <w:rFonts w:hint="eastAsia" w:ascii="宋体" w:hAnsi="宋体" w:eastAsia="宋体" w:cs="宋体"/>
          <w:color w:val="000000" w:themeColor="text1"/>
          <w:highlight w:val="none"/>
          <w14:textFill>
            <w14:solidFill>
              <w14:schemeClr w14:val="tx1"/>
            </w14:solidFill>
          </w14:textFill>
        </w:rPr>
        <w:t xml:space="preserve">大数据管理中心</w:t>
      </w:r>
      <w:r/>
    </w:p>
    <w:p>
      <w:pPr>
        <w:ind w:firstLine="480"/>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2.地址：江苏省徐州市</w:t>
      </w:r>
      <w:r>
        <w:rPr>
          <w:rFonts w:hint="eastAsia" w:ascii="宋体" w:hAnsi="宋体" w:eastAsia="宋体" w:cs="宋体"/>
          <w:color w:val="000000" w:themeColor="text1"/>
          <w:highlight w:val="none"/>
          <w:lang w:val="en-US" w:eastAsia="zh-CN"/>
          <w14:textFill>
            <w14:solidFill>
              <w14:schemeClr w14:val="tx1"/>
            </w14:solidFill>
          </w14:textFill>
        </w:rPr>
        <w:t xml:space="preserve">丰县南苑东路36号</w:t>
      </w:r>
      <w:r/>
    </w:p>
    <w:p>
      <w:pPr>
        <w:ind w:firstLine="480"/>
        <w:spacing w:line="44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联系方法：0516-</w:t>
      </w:r>
      <w:r>
        <w:rPr>
          <w:rFonts w:hint="eastAsia" w:ascii="宋体" w:hAnsi="宋体" w:eastAsia="宋体" w:cs="宋体"/>
          <w:color w:val="000000" w:themeColor="text1"/>
          <w:highlight w:val="none"/>
          <w:lang w:val="en-US" w:eastAsia="zh-CN"/>
          <w14:textFill>
            <w14:solidFill>
              <w14:schemeClr w14:val="tx1"/>
            </w14:solidFill>
          </w14:textFill>
        </w:rPr>
        <w:t xml:space="preserve">89268305</w:t>
      </w:r>
      <w:r/>
    </w:p>
    <w:p>
      <w:pPr>
        <w:ind w:firstLine="480"/>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4.采购项目联系人：</w:t>
      </w:r>
      <w:r>
        <w:rPr>
          <w:rFonts w:hint="eastAsia" w:ascii="宋体" w:hAnsi="宋体" w:eastAsia="宋体" w:cs="宋体"/>
          <w:color w:val="000000" w:themeColor="text1"/>
          <w:highlight w:val="none"/>
          <w:lang w:val="en-US" w:eastAsia="zh-CN"/>
          <w14:textFill>
            <w14:solidFill>
              <w14:schemeClr w14:val="tx1"/>
            </w14:solidFill>
          </w14:textFill>
        </w:rPr>
        <w:t xml:space="preserve">白茹</w:t>
      </w:r>
      <w:r/>
    </w:p>
    <w:p>
      <w:pPr>
        <w:ind w:firstLine="480"/>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六、采购代理机构</w:t>
      </w:r>
      <w:r/>
    </w:p>
    <w:p>
      <w:pPr>
        <w:ind w:firstLine="480"/>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1．名称：丰县公共资源交易中心</w:t>
      </w:r>
      <w:r/>
    </w:p>
    <w:p>
      <w:pPr>
        <w:ind w:firstLine="480"/>
        <w:spacing w:line="44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2．地址：</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丰县政务服务中心五楼</w:t>
      </w:r>
      <w:r>
        <w:rPr>
          <w:rFonts w:hint="eastAsia" w:ascii="宋体" w:hAnsi="宋体" w:eastAsia="宋体" w:cs="宋体"/>
          <w:color w:val="000000" w:themeColor="text1"/>
          <w:highlight w:val="none"/>
          <w14:textFill>
            <w14:solidFill>
              <w14:schemeClr w14:val="tx1"/>
            </w14:solidFill>
          </w14:textFill>
        </w:rPr>
        <w:t xml:space="preserve"> </w:t>
      </w:r>
      <w:r/>
    </w:p>
    <w:p>
      <w:pPr>
        <w:ind w:firstLine="480"/>
        <w:spacing w:line="440" w:lineRule="exac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3．联系方法：0516-89220212</w:t>
      </w:r>
      <w:r/>
    </w:p>
    <w:p>
      <w:pPr>
        <w:ind w:firstLine="439"/>
        <w:spacing w:line="440" w:lineRule="exact"/>
        <w:rPr>
          <w:rFonts w:cs="宋体" w:asciiTheme="minorEastAsia" w:hAnsiTheme="minorEastAsia" w:eastAsiaTheme="minorEastAsia"/>
          <w:b/>
          <w:bCs/>
          <w:color w:val="000000" w:themeColor="text1"/>
          <w:sz w:val="36"/>
          <w:szCs w:val="32"/>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4．采购项目联系人：曹倩        </w:t>
      </w:r>
      <w:bookmarkEnd w:id="2"/>
      <w:r/>
      <w:bookmarkEnd w:id="3"/>
      <w:r/>
      <w:bookmarkEnd w:id="4"/>
      <w:r/>
      <w:bookmarkEnd w:id="5"/>
      <w:r/>
      <w:r/>
    </w:p>
    <w:p>
      <w:pPr>
        <w:rPr>
          <w:rFonts w:asciiTheme="minorEastAsia" w:hAnsiTheme="minorEastAsia" w:eastAsiaTheme="minorEastAsia"/>
          <w:color w:val="000000" w:themeColor="text1"/>
          <w:highlight w:val="non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r>
      <w:r/>
    </w:p>
    <w:p>
      <w:pPr>
        <w:ind w:firstLine="723"/>
        <w:jc w:val="center"/>
        <w:spacing w:line="460" w:lineRule="atLeast"/>
        <w:rPr>
          <w:rFonts w:hint="eastAsia" w:ascii="宋体" w:hAnsi="宋体" w:eastAsia="宋体" w:cs="宋体"/>
          <w:color w:val="000000" w:themeColor="text1"/>
          <w:sz w:val="30"/>
          <w:szCs w:val="30"/>
          <w:highlight w:val="none"/>
          <w14:textFill>
            <w14:solidFill>
              <w14:schemeClr w14:val="tx1"/>
            </w14:solidFill>
          </w14:textFill>
        </w:rPr>
        <w:outlineLvl w:val="0"/>
      </w:pPr>
      <w:r/>
      <w:bookmarkStart w:id="6" w:name="_Toc28387"/>
      <w:r>
        <w:rPr>
          <w:rFonts w:hint="eastAsia" w:ascii="宋体" w:hAnsi="宋体" w:eastAsia="宋体" w:cs="宋体"/>
          <w:b/>
          <w:bCs/>
          <w:color w:val="000000" w:themeColor="text1"/>
          <w:sz w:val="36"/>
          <w:szCs w:val="32"/>
          <w:highlight w:val="none"/>
          <w14:textFill>
            <w14:solidFill>
              <w14:schemeClr w14:val="tx1"/>
            </w14:solidFill>
          </w14:textFill>
        </w:rPr>
        <w:t xml:space="preserve">第二章 投标人须知</w:t>
      </w:r>
      <w:bookmarkEnd w:id="6"/>
      <w:r/>
      <w:r/>
    </w:p>
    <w:p>
      <w:pPr>
        <w:ind w:firstLine="600"/>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602"/>
        <w:jc w:val="center"/>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目   录</w:t>
      </w:r>
      <w:r/>
    </w:p>
    <w:p>
      <w:pPr>
        <w:ind w:left="480" w:firstLine="600"/>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left="480" w:firstLine="600"/>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一、总则</w:t>
      </w:r>
      <w:r/>
    </w:p>
    <w:p>
      <w:pPr>
        <w:ind w:left="480" w:firstLine="600"/>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二、招标</w:t>
      </w:r>
      <w:r/>
    </w:p>
    <w:p>
      <w:pPr>
        <w:ind w:left="480" w:firstLine="600"/>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三、投标</w:t>
      </w:r>
      <w:r/>
    </w:p>
    <w:p>
      <w:pPr>
        <w:ind w:left="480" w:firstLine="600"/>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四、开标</w:t>
      </w:r>
      <w:r/>
    </w:p>
    <w:p>
      <w:pPr>
        <w:ind w:left="480" w:firstLine="600"/>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五、评标</w:t>
      </w:r>
      <w:r/>
    </w:p>
    <w:p>
      <w:pPr>
        <w:ind w:left="480" w:firstLine="600"/>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六、定标</w:t>
      </w:r>
      <w:r/>
    </w:p>
    <w:p>
      <w:pPr>
        <w:ind w:left="480" w:firstLine="600"/>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七、政府采购合同</w:t>
      </w:r>
      <w:r/>
    </w:p>
    <w:p>
      <w:pPr>
        <w:ind w:left="480" w:firstLine="600"/>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八、询问和质疑</w:t>
      </w:r>
      <w:r/>
    </w:p>
    <w:p>
      <w:pPr>
        <w:ind w:left="480" w:firstLine="600"/>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九、电子招标投标交易平台</w:t>
      </w:r>
      <w:r/>
    </w:p>
    <w:p>
      <w:pPr>
        <w:ind w:left="480" w:firstLine="600"/>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0"/>
        <w:jc w:val="center"/>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br w:type="page" w:clear="all"/>
      </w:r>
      <w:r>
        <w:rPr>
          <w:rFonts w:hint="eastAsia" w:ascii="宋体" w:hAnsi="宋体" w:eastAsia="宋体" w:cs="宋体"/>
          <w:b/>
          <w:color w:val="000000" w:themeColor="text1"/>
          <w:sz w:val="28"/>
          <w:szCs w:val="28"/>
          <w:highlight w:val="none"/>
          <w14:textFill>
            <w14:solidFill>
              <w14:schemeClr w14:val="tx1"/>
            </w14:solidFill>
          </w14:textFill>
        </w:rPr>
        <w:t xml:space="preserve">一、总  则</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 采购人</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1.1采购人是指依法进行政府采购的国家机关、事业单位、团体组织。</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2. 政府采购方式</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2.1政府采购货物或者服务（以下简称“货物服务”）招标分为公开招标和邀请招标。</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3. 采购人应当在货物服务招标投标活动中落实节约能源、保护环境、扶持不发达地区和少数民族地区、促进中小企业发展等政府采购政策。</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4. 采购人应当按照财政部制定的《政府采购品目分类目录》确定采购项目属性。按照《政府采购品目分类目录》无法确定的，按照有利于采购项目实施的原则确定。</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5.采购人委托采购代理机构代理招标的，采购代理机构应当在采购人委托的范围内依法开展采购活动。</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6. 投标人的资格条件</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6.1参加政府采购货物服务投标活动的供应商（以下简称“投标人”），应当是提供本国货物服务的本国供应商，但法律、行政法规规定外国供应商可以参加货物服务招标投标活动的除外。</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投标人，是指响应招标、参加投标竞争的法人、其他组织或者自然人。</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6.2 投标人授权代表系指法定代表人（负责人）或受法人委托的受托人。</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7. 投标费用</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7.1 投标人应承担所有与准备和参加投标有关的费用。无论投标的结果如何，采购代理机构对上述费用不承担任何责任和义务。</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ind w:firstLine="0"/>
        <w:jc w:val="center"/>
        <w:keepLines w:val="0"/>
        <w:keepNext w:val="0"/>
        <w:pageBreakBefore w:val="0"/>
        <w:spacing w:line="440" w:lineRule="exact"/>
        <w:rPr>
          <w:rFonts w:hint="eastAsia" w:ascii="宋体" w:hAnsi="宋体" w:eastAsia="宋体" w:cs="宋体"/>
          <w:b/>
          <w:color w:val="000000" w:themeColor="text1"/>
          <w:sz w:val="28"/>
          <w:szCs w:val="28"/>
          <w:highlight w:val="none"/>
          <w14:textFill>
            <w14:solidFill>
              <w14:schemeClr w14:val="tx1"/>
            </w14:solidFill>
          </w14:textFill>
        </w:rPr>
        <w:outlineLvl w:val="9"/>
      </w:pPr>
      <w:r>
        <w:rPr>
          <w:rFonts w:hint="eastAsia" w:ascii="宋体" w:hAnsi="宋体" w:eastAsia="宋体" w:cs="宋体"/>
          <w:b/>
          <w:color w:val="000000" w:themeColor="text1"/>
          <w:sz w:val="28"/>
          <w:szCs w:val="28"/>
          <w:highlight w:val="none"/>
          <w14:textFill>
            <w14:solidFill>
              <w14:schemeClr w14:val="tx1"/>
            </w14:solidFill>
          </w14:textFill>
        </w:rPr>
        <w:t xml:space="preserve">二、招  标</w:t>
      </w:r>
      <w:r/>
    </w:p>
    <w:p>
      <w:pPr>
        <w:ind w:firstLine="480"/>
        <w:jc w:val="center"/>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ind w:firstLine="36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8. 招标文件的内容</w:t>
      </w:r>
      <w:r/>
    </w:p>
    <w:p>
      <w:pPr>
        <w:ind w:firstLine="36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8.1招标文件包括以下内容：</w:t>
      </w:r>
      <w:r/>
    </w:p>
    <w:p>
      <w:pPr>
        <w:ind w:firstLine="36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第一章 投标邀请</w:t>
      </w:r>
      <w:r/>
    </w:p>
    <w:p>
      <w:pPr>
        <w:ind w:firstLine="36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第二章 投标人须知</w:t>
      </w:r>
      <w:r/>
    </w:p>
    <w:p>
      <w:pPr>
        <w:ind w:firstLine="36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第三章 投标资料表</w:t>
      </w:r>
      <w:r/>
    </w:p>
    <w:p>
      <w:pPr>
        <w:ind w:firstLine="36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第四章 评标标准</w:t>
      </w:r>
      <w:r/>
    </w:p>
    <w:p>
      <w:pPr>
        <w:ind w:firstLine="36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第五章 拟签订的合同文本</w:t>
      </w:r>
      <w:r/>
    </w:p>
    <w:p>
      <w:pPr>
        <w:ind w:firstLine="36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第六章 采购需求</w:t>
      </w:r>
      <w:r/>
    </w:p>
    <w:p>
      <w:pPr>
        <w:ind w:firstLine="36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第七章 投标文件相关格式</w:t>
      </w:r>
      <w:r/>
    </w:p>
    <w:p>
      <w:pPr>
        <w:ind w:left="0" w:firstLine="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ind w:firstLine="36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9. 招标文件澄清或者修改</w:t>
      </w:r>
      <w:r/>
    </w:p>
    <w:p>
      <w:pPr>
        <w:ind w:firstLine="36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9.1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36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9.2现场考察以招标文件第三章《投标资料表》中的要求为准。</w:t>
      </w:r>
      <w:r/>
    </w:p>
    <w:p>
      <w:pPr>
        <w:ind w:firstLine="36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9.3开标前答疑会以招标文件第三章《投标资料表》中的要求为准。</w:t>
      </w:r>
      <w:r/>
    </w:p>
    <w:p>
      <w:pPr>
        <w:ind w:firstLine="0"/>
        <w:jc w:val="center"/>
        <w:keepLines w:val="0"/>
        <w:keepNext w:val="0"/>
        <w:pageBreakBefore w:val="0"/>
        <w:spacing w:line="440" w:lineRule="exact"/>
        <w:rPr>
          <w:rFonts w:hint="eastAsia" w:ascii="宋体" w:hAnsi="宋体" w:eastAsia="宋体" w:cs="宋体"/>
          <w:b/>
          <w:color w:val="000000" w:themeColor="text1"/>
          <w:sz w:val="28"/>
          <w:szCs w:val="28"/>
          <w:highlight w:val="none"/>
          <w14:textFill>
            <w14:solidFill>
              <w14:schemeClr w14:val="tx1"/>
            </w14:solidFill>
          </w14:textFill>
        </w:rPr>
        <w:outlineLvl w:val="9"/>
      </w:pPr>
      <w:r>
        <w:rPr>
          <w:rFonts w:hint="eastAsia" w:ascii="宋体" w:hAnsi="宋体" w:eastAsia="宋体" w:cs="宋体"/>
          <w:b/>
          <w:color w:val="000000" w:themeColor="text1"/>
          <w:sz w:val="28"/>
          <w:szCs w:val="28"/>
          <w:highlight w:val="none"/>
          <w14:textFill>
            <w14:solidFill>
              <w14:schemeClr w14:val="tx1"/>
            </w14:solidFill>
          </w14:textFill>
        </w:rPr>
      </w:r>
      <w:r/>
    </w:p>
    <w:p>
      <w:pPr>
        <w:ind w:firstLine="0"/>
        <w:jc w:val="center"/>
        <w:keepLines w:val="0"/>
        <w:keepNext w:val="0"/>
        <w:pageBreakBefore w:val="0"/>
        <w:spacing w:line="440" w:lineRule="exact"/>
        <w:rPr>
          <w:rFonts w:hint="eastAsia" w:ascii="宋体" w:hAnsi="宋体" w:eastAsia="宋体" w:cs="宋体"/>
          <w:b/>
          <w:color w:val="000000" w:themeColor="text1"/>
          <w:sz w:val="28"/>
          <w:szCs w:val="28"/>
          <w:highlight w:val="none"/>
          <w14:textFill>
            <w14:solidFill>
              <w14:schemeClr w14:val="tx1"/>
            </w14:solidFill>
          </w14:textFill>
        </w:rPr>
        <w:outlineLvl w:val="9"/>
      </w:pPr>
      <w:r>
        <w:rPr>
          <w:rFonts w:hint="eastAsia" w:ascii="宋体" w:hAnsi="宋体" w:eastAsia="宋体" w:cs="宋体"/>
          <w:b/>
          <w:color w:val="000000" w:themeColor="text1"/>
          <w:sz w:val="28"/>
          <w:szCs w:val="28"/>
          <w:highlight w:val="none"/>
          <w14:textFill>
            <w14:solidFill>
              <w14:schemeClr w14:val="tx1"/>
            </w14:solidFill>
          </w14:textFill>
        </w:rPr>
        <w:t xml:space="preserve">三、投  标</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10. 投标人应当按照招标文件的要求编制投标文件。投标文件应对招标文件提出的要求和条件作出实质性响应。</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11. 投标文件的语言</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11.1 投标文件以及投标人与采购代理机构就有关投标的往来函电均应使用招标文件第三章《投标资料表》规定的语言书写，否则无效。</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12. 投标文件的构成</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12.1 投标文件的构成以招标文件第三章《投标资料表》中的要求为准。</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12.2投标人应当提交的资格、资信证明文件：以招标文件第三章《投标资料表》中的要求为准。</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13. 投标函和价格表、商务条件、交货和提供服务的时间</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13.1 投标函和价格表：要求见本章12、13，格式见招标文件第七章《投标文件相关格式》中《投标函》和《开标一览表》。</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13.2商务条件：以招标文件第三章《投标资料表》中的要求为准。</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14.投标报价要求</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14.1 投标人应按照招标文件的要求报出分项价格和总价。</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14.2 投标人应按照招标文件的要求进行报价，如投标人作出偏离，应在《偏离表》中列出。</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14.3 采购人不支付报价以外的任何费用。</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14.4 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14.5投标人只能提交一个投标价格，投标人提交多个价格的投标文件在资格性、符合性检查时按照无效投标处理。</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lang w:val="en-US" w:eastAsia="zh-CN"/>
          <w14:textFill>
            <w14:solidFill>
              <w14:schemeClr w14:val="tx1"/>
            </w14:solidFill>
          </w14:textFill>
        </w:rPr>
        <w:t xml:space="preserve">14.6 </w:t>
      </w:r>
      <w:r>
        <w:rPr>
          <w:rFonts w:hint="eastAsia" w:ascii="宋体" w:hAnsi="宋体" w:eastAsia="宋体" w:cs="宋体"/>
          <w:color w:val="000000" w:themeColor="text1"/>
          <w:highlight w:val="none"/>
          <w14:textFill>
            <w14:solidFill>
              <w14:schemeClr w14:val="tx1"/>
            </w14:solidFill>
          </w14:textFill>
        </w:rPr>
        <w:t xml:space="preserve">不接受超过采购项目预算金额的投标报价。具体见招标文件第三章《投标资料表》。</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15. 投标货币</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15.1以招标文件第三章《投标资料表》中的要求为准。</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16. 投标保证金：</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16.1以招标文件第三章《投标资料表》中的要求为准。</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17. 投标有效期</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17.1投标有效期为开标之日后90天。采购人可以要求对投标有效期延长一次，但该延长期最长不超过30天。</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17.2采购人应在距投标有效期满20日之前书面通知投标人，要求其延长投标有效期。如果有关投标人同意延长投标有效期的要求，其应在原投标有效期期满前以书面形式向采购人确认。</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18. 投标文件的编制要求和签署要求</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18.1.电子投标文件要求</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18.1.1电子招标投标交易平台（即“苏采云”系统）相关要求是本招标文件的组成部分。</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18.1.2投标人</w:t>
      </w:r>
      <w:r>
        <w:rPr>
          <w:rFonts w:ascii="宋体" w:hAnsi="宋体" w:eastAsia="宋体" w:cs="宋体"/>
          <w:color w:val="000000" w:themeColor="text1"/>
          <w:highlight w:val="none"/>
          <w14:textFill>
            <w14:solidFill>
              <w14:schemeClr w14:val="tx1"/>
            </w14:solidFill>
          </w14:textFill>
        </w:rPr>
        <w:t xml:space="preserve">应在规定的网上</w:t>
      </w:r>
      <w:r>
        <w:rPr>
          <w:rFonts w:hint="eastAsia" w:ascii="宋体" w:hAnsi="宋体" w:eastAsia="宋体" w:cs="宋体"/>
          <w:color w:val="000000" w:themeColor="text1"/>
          <w:highlight w:val="none"/>
          <w14:textFill>
            <w14:solidFill>
              <w14:schemeClr w14:val="tx1"/>
            </w14:solidFill>
          </w14:textFill>
        </w:rPr>
        <w:t xml:space="preserve">投标</w:t>
      </w:r>
      <w:r>
        <w:rPr>
          <w:rFonts w:ascii="宋体" w:hAnsi="宋体" w:eastAsia="宋体" w:cs="宋体"/>
          <w:color w:val="000000" w:themeColor="text1"/>
          <w:highlight w:val="none"/>
          <w14:textFill>
            <w14:solidFill>
              <w14:schemeClr w14:val="tx1"/>
            </w14:solidFill>
          </w14:textFill>
        </w:rPr>
        <w:t xml:space="preserve">时间</w:t>
      </w:r>
      <w:r>
        <w:rPr>
          <w:rFonts w:hint="eastAsia" w:ascii="宋体" w:hAnsi="宋体" w:eastAsia="宋体" w:cs="宋体"/>
          <w:color w:val="000000" w:themeColor="text1"/>
          <w:highlight w:val="none"/>
          <w14:textFill>
            <w14:solidFill>
              <w14:schemeClr w14:val="tx1"/>
            </w14:solidFill>
          </w14:textFill>
        </w:rPr>
        <w:t xml:space="preserve">内</w:t>
      </w:r>
      <w:r>
        <w:rPr>
          <w:rFonts w:ascii="宋体" w:hAnsi="宋体" w:eastAsia="宋体" w:cs="宋体"/>
          <w:color w:val="000000" w:themeColor="text1"/>
          <w:highlight w:val="none"/>
          <w14:textFill>
            <w14:solidFill>
              <w14:schemeClr w14:val="tx1"/>
            </w14:solidFill>
          </w14:textFill>
        </w:rPr>
        <w:t xml:space="preserve">使用</w:t>
      </w:r>
      <w:r>
        <w:rPr>
          <w:rFonts w:hint="eastAsia" w:ascii="宋体" w:hAnsi="宋体" w:eastAsia="宋体" w:cs="宋体"/>
          <w:color w:val="000000" w:themeColor="text1"/>
          <w:highlight w:val="none"/>
          <w14:textFill>
            <w14:solidFill>
              <w14:schemeClr w14:val="tx1"/>
            </w14:solidFill>
          </w14:textFill>
        </w:rPr>
        <w:t xml:space="preserve">“</w:t>
      </w:r>
      <w:r>
        <w:rPr>
          <w:rFonts w:ascii="宋体" w:hAnsi="宋体" w:eastAsia="宋体" w:cs="宋体"/>
          <w:color w:val="000000" w:themeColor="text1"/>
          <w:highlight w:val="none"/>
          <w14:textFill>
            <w14:solidFill>
              <w14:schemeClr w14:val="tx1"/>
            </w14:solidFill>
          </w14:textFill>
        </w:rPr>
        <w:t xml:space="preserve">政府采购客户端</w:t>
      </w:r>
      <w:r>
        <w:rPr>
          <w:rFonts w:hint="eastAsia" w:ascii="宋体" w:hAnsi="宋体" w:eastAsia="宋体" w:cs="宋体"/>
          <w:color w:val="000000" w:themeColor="text1"/>
          <w:highlight w:val="none"/>
          <w14:textFill>
            <w14:solidFill>
              <w14:schemeClr w14:val="tx1"/>
            </w14:solidFill>
          </w14:textFill>
        </w:rPr>
        <w:t xml:space="preserve">”</w:t>
      </w:r>
      <w:r>
        <w:rPr>
          <w:rFonts w:ascii="宋体" w:hAnsi="宋体" w:eastAsia="宋体" w:cs="宋体"/>
          <w:color w:val="000000" w:themeColor="text1"/>
          <w:highlight w:val="none"/>
          <w14:textFill>
            <w14:solidFill>
              <w14:schemeClr w14:val="tx1"/>
            </w14:solidFill>
          </w14:textFill>
        </w:rPr>
        <w:t xml:space="preserve">编制电子</w:t>
      </w:r>
      <w:r>
        <w:rPr>
          <w:rFonts w:hint="eastAsia" w:ascii="宋体" w:hAnsi="宋体" w:eastAsia="宋体" w:cs="宋体"/>
          <w:color w:val="000000" w:themeColor="text1"/>
          <w:highlight w:val="none"/>
          <w14:textFill>
            <w14:solidFill>
              <w14:schemeClr w14:val="tx1"/>
            </w14:solidFill>
          </w14:textFill>
        </w:rPr>
        <w:t xml:space="preserve">投标</w:t>
      </w:r>
      <w:r>
        <w:rPr>
          <w:rFonts w:ascii="宋体" w:hAnsi="宋体" w:eastAsia="宋体" w:cs="宋体"/>
          <w:color w:val="000000" w:themeColor="text1"/>
          <w:highlight w:val="none"/>
          <w14:textFill>
            <w14:solidFill>
              <w14:schemeClr w14:val="tx1"/>
            </w14:solidFill>
          </w14:textFill>
        </w:rPr>
        <w:t xml:space="preserve">文件，并在提交</w:t>
      </w:r>
      <w:r>
        <w:rPr>
          <w:rFonts w:hint="eastAsia" w:ascii="宋体" w:hAnsi="宋体" w:eastAsia="宋体" w:cs="宋体"/>
          <w:color w:val="000000" w:themeColor="text1"/>
          <w:highlight w:val="none"/>
          <w14:textFill>
            <w14:solidFill>
              <w14:schemeClr w14:val="tx1"/>
            </w14:solidFill>
          </w14:textFill>
        </w:rPr>
        <w:t xml:space="preserve">投标</w:t>
      </w:r>
      <w:r>
        <w:rPr>
          <w:rFonts w:ascii="宋体" w:hAnsi="宋体" w:eastAsia="宋体" w:cs="宋体"/>
          <w:color w:val="000000" w:themeColor="text1"/>
          <w:highlight w:val="none"/>
          <w14:textFill>
            <w14:solidFill>
              <w14:schemeClr w14:val="tx1"/>
            </w14:solidFill>
          </w14:textFill>
        </w:rPr>
        <w:t xml:space="preserve">文件截止时间之前上传</w:t>
      </w:r>
      <w:r>
        <w:rPr>
          <w:rFonts w:hint="eastAsia" w:ascii="宋体" w:hAnsi="宋体" w:eastAsia="宋体" w:cs="宋体"/>
          <w:color w:val="000000" w:themeColor="text1"/>
          <w:highlight w:val="none"/>
          <w14:textFill>
            <w14:solidFill>
              <w14:schemeClr w14:val="tx1"/>
            </w14:solidFill>
          </w14:textFill>
        </w:rPr>
        <w:t xml:space="preserve">投标</w:t>
      </w:r>
      <w:r>
        <w:rPr>
          <w:rFonts w:ascii="宋体" w:hAnsi="宋体" w:eastAsia="宋体" w:cs="宋体"/>
          <w:color w:val="000000" w:themeColor="text1"/>
          <w:highlight w:val="none"/>
          <w14:textFill>
            <w14:solidFill>
              <w14:schemeClr w14:val="tx1"/>
            </w14:solidFill>
          </w14:textFill>
        </w:rPr>
        <w:t xml:space="preserve">文件。</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18.1.3投标人应当对招标文件提出的要求和条件作出实质性响应，并在电子投标系统逐条应答。</w:t>
      </w:r>
      <w:r/>
    </w:p>
    <w:p>
      <w:pPr>
        <w:numPr>
          <w:ilvl w:val="0"/>
          <w:numId w:val="6"/>
        </w:num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18.1.4投标人应对要求提供的资格证明文件（如资质证书、资格证书）、技术资料（如白皮书、彩页、手册、检测报告等）扫描上传至投标系统。</w:t>
      </w:r>
      <w:r/>
    </w:p>
    <w:p>
      <w:pPr>
        <w:numPr>
          <w:ilvl w:val="0"/>
          <w:numId w:val="6"/>
        </w:num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投标文件的加密、提交与接收</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19.1投标文件的加密、签署、盖章要求：见招标文件第三章《投标资料表》。</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19.2提交投标文件的截止时间（投标截止时间）：见招标文件第三章《投标资料表》。</w:t>
      </w:r>
      <w:r/>
    </w:p>
    <w:p>
      <w:pPr>
        <w:pStyle w:val="1140"/>
        <w:ind w:firstLine="480"/>
        <w:keepLines w:val="0"/>
        <w:keepNext w:val="0"/>
        <w:pageBreakBefore w:val="0"/>
        <w:spacing w:line="440" w:lineRule="exact"/>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19.3投标人应当在招标文件要求提交投标文件的截止时间前，将投标文件提交至“苏采云”系统，逾期提交的投标文件，“苏采云”系统将自动拒收。</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20. 投标人在投标截止时间前，可以对所递交的投标文件进行补充、修改或者撤回，并书面通知采购代理机构。补充、修改的内容应当按照招标文件要求签署、盖章、密封后，作为投标文件的组成部分。</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21. 分包</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 21.1投标人根据招标文件的规定和采购项目的实际情况，拟在中标后将中标项目的非主体、非关键性工作分包的，应当在投标文件中载明分包承担主体，分包承担主体应当具备相应资质条件且不得再次分包。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21.2 招标文件对本项目分包的规定：见招标文件第三章《投标资料表》。</w:t>
      </w:r>
      <w:r/>
    </w:p>
    <w:p>
      <w:pPr>
        <w:ind w:firstLine="480"/>
        <w:keepLines w:val="0"/>
        <w:keepNext w:val="0"/>
        <w:pageBreakBefore w:val="0"/>
        <w:spacing w:line="440" w:lineRule="exact"/>
        <w:rPr>
          <w:rFonts w:hint="eastAsia" w:ascii="宋体" w:hAnsi="宋体" w:eastAsia="宋体" w:cs="宋体"/>
          <w:bCs/>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22. 投标人应当</w:t>
      </w:r>
      <w:r>
        <w:rPr>
          <w:rFonts w:hint="eastAsia" w:ascii="宋体" w:hAnsi="宋体" w:eastAsia="宋体" w:cs="宋体"/>
          <w:bCs/>
          <w:color w:val="000000" w:themeColor="text1"/>
          <w:highlight w:val="none"/>
          <w14:textFill>
            <w14:solidFill>
              <w14:schemeClr w14:val="tx1"/>
            </w14:solidFill>
          </w14:textFill>
        </w:rPr>
        <w:t xml:space="preserve">遵循公平竞争的原则，不得恶意串通，不得妨碍其他投标人的竞争行为，不得损害采购人或者其他投标人的合法权益。</w:t>
      </w:r>
      <w:r/>
    </w:p>
    <w:p>
      <w:pPr>
        <w:ind w:firstLine="480"/>
        <w:jc w:val="left"/>
        <w:keepLines w:val="0"/>
        <w:keepNext w:val="0"/>
        <w:pageBreakBefore w:val="0"/>
        <w:spacing w:line="440" w:lineRule="exact"/>
        <w:widowControl/>
        <w:rPr>
          <w:rFonts w:hint="eastAsia" w:ascii="宋体" w:hAnsi="宋体" w:eastAsia="宋体" w:cs="宋体"/>
          <w:bCs/>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在评标过程中发现投标人有上述情形的，评标委员会应当认定其投标无效，并书面报告本级财政部门。</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lang w:val="en-US" w:eastAsia="zh-CN"/>
          <w14:textFill>
            <w14:solidFill>
              <w14:schemeClr w14:val="tx1"/>
            </w14:solidFill>
          </w14:textFill>
        </w:rPr>
        <w:t xml:space="preserve">23</w:t>
      </w:r>
      <w:r>
        <w:rPr>
          <w:rFonts w:hint="eastAsia" w:ascii="宋体" w:hAnsi="宋体" w:eastAsia="宋体" w:cs="宋体"/>
          <w:color w:val="000000" w:themeColor="text1"/>
          <w:highlight w:val="none"/>
          <w14:textFill>
            <w14:solidFill>
              <w14:schemeClr w14:val="tx1"/>
            </w14:solidFill>
          </w14:textFill>
        </w:rPr>
        <w:t xml:space="preserve">. 有下列情形之一的，视为投标人串通投标，其投标无效：</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lang w:val="en-US" w:eastAsia="zh-CN"/>
          <w14:textFill>
            <w14:solidFill>
              <w14:schemeClr w14:val="tx1"/>
            </w14:solidFill>
          </w14:textFill>
        </w:rPr>
        <w:t xml:space="preserve">23.1</w:t>
      </w:r>
      <w:r>
        <w:rPr>
          <w:rFonts w:hint="eastAsia" w:ascii="宋体" w:hAnsi="宋体" w:eastAsia="宋体" w:cs="宋体"/>
          <w:color w:val="000000" w:themeColor="text1"/>
          <w:highlight w:val="none"/>
          <w14:textFill>
            <w14:solidFill>
              <w14:schemeClr w14:val="tx1"/>
            </w14:solidFill>
          </w14:textFill>
        </w:rPr>
        <w:t xml:space="preserve">不同投标人的投标文件由同一单位或者个人编制；</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lang w:val="en-US" w:eastAsia="zh-CN"/>
          <w14:textFill>
            <w14:solidFill>
              <w14:schemeClr w14:val="tx1"/>
            </w14:solidFill>
          </w14:textFill>
        </w:rPr>
        <w:t xml:space="preserve">23.2</w:t>
      </w:r>
      <w:r>
        <w:rPr>
          <w:rFonts w:hint="eastAsia" w:ascii="宋体" w:hAnsi="宋体" w:eastAsia="宋体" w:cs="宋体"/>
          <w:color w:val="000000" w:themeColor="text1"/>
          <w:highlight w:val="none"/>
          <w14:textFill>
            <w14:solidFill>
              <w14:schemeClr w14:val="tx1"/>
            </w14:solidFill>
          </w14:textFill>
        </w:rPr>
        <w:t xml:space="preserve">不同投标人委托同一单位或者个人办理投标事宜；</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lang w:val="en-US" w:eastAsia="zh-CN"/>
          <w14:textFill>
            <w14:solidFill>
              <w14:schemeClr w14:val="tx1"/>
            </w14:solidFill>
          </w14:textFill>
        </w:rPr>
        <w:t xml:space="preserve">23.3</w:t>
      </w:r>
      <w:r>
        <w:rPr>
          <w:rFonts w:hint="eastAsia" w:ascii="宋体" w:hAnsi="宋体" w:eastAsia="宋体" w:cs="宋体"/>
          <w:color w:val="000000" w:themeColor="text1"/>
          <w:highlight w:val="none"/>
          <w14:textFill>
            <w14:solidFill>
              <w14:schemeClr w14:val="tx1"/>
            </w14:solidFill>
          </w14:textFill>
        </w:rPr>
        <w:t xml:space="preserve">不同投标人的投标文件载明的项目管理成员或者联系人员为同一人；</w:t>
      </w:r>
      <w:r/>
    </w:p>
    <w:p>
      <w:pPr>
        <w:ind w:firstLine="480"/>
        <w:keepLines w:val="0"/>
        <w:keepNext w:val="0"/>
        <w:pageBreakBefore w:val="0"/>
        <w:spacing w:line="440" w:lineRule="exact"/>
        <w:rPr>
          <w:rFonts w:hint="eastAsia" w:ascii="宋体" w:hAnsi="宋体" w:eastAsia="宋体" w:cs="宋体"/>
          <w:color w:val="000000" w:themeColor="text1"/>
          <w:highlight w:val="none"/>
          <w:lang w:eastAsia="zh-CN"/>
          <w14:textFill>
            <w14:solidFill>
              <w14:schemeClr w14:val="tx1"/>
            </w14:solidFill>
          </w14:textFill>
        </w:rPr>
        <w:outlineLvl w:val="9"/>
      </w:pPr>
      <w:r>
        <w:rPr>
          <w:rFonts w:hint="eastAsia" w:ascii="宋体" w:hAnsi="宋体" w:eastAsia="宋体" w:cs="宋体"/>
          <w:color w:val="000000" w:themeColor="text1"/>
          <w:highlight w:val="none"/>
          <w:lang w:val="en-US" w:eastAsia="zh-CN"/>
          <w14:textFill>
            <w14:solidFill>
              <w14:schemeClr w14:val="tx1"/>
            </w14:solidFill>
          </w14:textFill>
        </w:rPr>
        <w:t xml:space="preserve">23.4</w:t>
      </w:r>
      <w:r>
        <w:rPr>
          <w:rFonts w:hint="eastAsia" w:ascii="宋体" w:hAnsi="宋体" w:eastAsia="宋体" w:cs="宋体"/>
          <w:color w:val="000000" w:themeColor="text1"/>
          <w:highlight w:val="none"/>
          <w14:textFill>
            <w14:solidFill>
              <w14:schemeClr w14:val="tx1"/>
            </w14:solidFill>
          </w14:textFill>
        </w:rPr>
        <w:t xml:space="preserve">不同投标人的投标文件异常一致或者投标报价呈规律性差异</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jc w:val="center"/>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b/>
          <w:color w:val="000000" w:themeColor="text1"/>
          <w:sz w:val="28"/>
          <w:szCs w:val="28"/>
          <w:highlight w:val="none"/>
          <w14:textFill>
            <w14:solidFill>
              <w14:schemeClr w14:val="tx1"/>
            </w14:solidFill>
          </w14:textFill>
        </w:rPr>
        <w:t xml:space="preserve">四、开标</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lang w:bidi="ar"/>
          <w14:textFill>
            <w14:solidFill>
              <w14:schemeClr w14:val="tx1"/>
            </w14:solidFill>
          </w14:textFill>
        </w:rPr>
        <w:outlineLvl w:val="9"/>
      </w:pPr>
      <w:r>
        <w:rPr>
          <w:rFonts w:hint="eastAsia" w:ascii="宋体" w:hAnsi="宋体" w:eastAsia="宋体" w:cs="宋体"/>
          <w:color w:val="000000" w:themeColor="text1"/>
          <w:highlight w:val="none"/>
          <w:lang w:bidi="ar"/>
          <w14:textFill>
            <w14:solidFill>
              <w14:schemeClr w14:val="tx1"/>
            </w14:solidFill>
          </w14:textFill>
        </w:rPr>
        <w:t xml:space="preserve">24.开标</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lang w:bidi="ar"/>
          <w14:textFill>
            <w14:solidFill>
              <w14:schemeClr w14:val="tx1"/>
            </w14:solidFill>
          </w14:textFill>
        </w:rPr>
        <w:outlineLvl w:val="9"/>
      </w:pPr>
      <w:r>
        <w:rPr>
          <w:rFonts w:hint="eastAsia" w:ascii="宋体" w:hAnsi="宋体" w:eastAsia="宋体" w:cs="宋体"/>
          <w:color w:val="000000" w:themeColor="text1"/>
          <w:highlight w:val="none"/>
          <w:lang w:bidi="ar"/>
          <w14:textFill>
            <w14:solidFill>
              <w14:schemeClr w14:val="tx1"/>
            </w14:solidFill>
          </w14:textFill>
        </w:rPr>
        <w:t xml:space="preserve">24.1 开标应当在招标文件确定的提交投标文件截止时间的同一时间进行。开标地点应当为招标文件中预先确定的地点。开标时间及地点：见招标文件第三章《投标资料表》。</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lang w:bidi="ar"/>
          <w14:textFill>
            <w14:solidFill>
              <w14:schemeClr w14:val="tx1"/>
            </w14:solidFill>
          </w14:textFill>
        </w:rPr>
        <w:outlineLvl w:val="9"/>
      </w:pPr>
      <w:r>
        <w:rPr>
          <w:rFonts w:hint="eastAsia" w:ascii="宋体" w:hAnsi="宋体" w:eastAsia="宋体" w:cs="宋体"/>
          <w:color w:val="000000" w:themeColor="text1"/>
          <w:highlight w:val="none"/>
          <w:lang w:bidi="ar"/>
          <w14:textFill>
            <w14:solidFill>
              <w14:schemeClr w14:val="tx1"/>
            </w14:solidFill>
          </w14:textFill>
        </w:rPr>
        <w:t xml:space="preserve">24.2 开标仪式由采购代理机构组织。苏采云系统将自动对项目进行开标，并宣布各投标人名称和投标价格。</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lang w:bidi="ar"/>
          <w14:textFill>
            <w14:solidFill>
              <w14:schemeClr w14:val="tx1"/>
            </w14:solidFill>
          </w14:textFill>
        </w:rPr>
        <w:outlineLvl w:val="9"/>
      </w:pPr>
      <w:r>
        <w:rPr>
          <w:rFonts w:hint="eastAsia" w:ascii="宋体" w:hAnsi="宋体" w:eastAsia="宋体" w:cs="宋体"/>
          <w:color w:val="000000" w:themeColor="text1"/>
          <w:highlight w:val="none"/>
          <w:lang w:bidi="ar"/>
          <w14:textFill>
            <w14:solidFill>
              <w14:schemeClr w14:val="tx1"/>
            </w14:solidFill>
          </w14:textFill>
        </w:rPr>
        <w:t xml:space="preserve">24.3 开标时，由采购代理机构工作人员宣布投标人名称、投标价格和招标文件规定的需要宣布的其他内容。招标文件规定的需要宣布的内容：见招标文件第三章《投标资料表》。</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lang w:bidi="ar"/>
          <w14:textFill>
            <w14:solidFill>
              <w14:schemeClr w14:val="tx1"/>
            </w14:solidFill>
          </w14:textFill>
        </w:rPr>
        <w:outlineLvl w:val="9"/>
      </w:pPr>
      <w:r>
        <w:rPr>
          <w:rFonts w:hint="eastAsia" w:ascii="宋体" w:hAnsi="宋体" w:eastAsia="宋体" w:cs="宋体"/>
          <w:color w:val="000000" w:themeColor="text1"/>
          <w:highlight w:val="none"/>
          <w:lang w:bidi="ar"/>
          <w14:textFill>
            <w14:solidFill>
              <w14:schemeClr w14:val="tx1"/>
            </w14:solidFill>
          </w14:textFill>
        </w:rPr>
        <w:t xml:space="preserve">24.4开标过程应当由采购人或者采购代理机构负责记录，由参加开标的各投标人代表线上确认和相关工作人员签字确认后随采购文件一并存档。</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lang w:bidi="ar"/>
          <w14:textFill>
            <w14:solidFill>
              <w14:schemeClr w14:val="tx1"/>
            </w14:solidFill>
          </w14:textFill>
        </w:rPr>
        <w:outlineLvl w:val="9"/>
      </w:pPr>
      <w:r>
        <w:rPr>
          <w:rFonts w:hint="eastAsia" w:ascii="宋体" w:hAnsi="宋体" w:eastAsia="宋体" w:cs="宋体"/>
          <w:color w:val="000000" w:themeColor="text1"/>
          <w:highlight w:val="none"/>
          <w:lang w:bidi="ar"/>
          <w14:textFill>
            <w14:solidFill>
              <w14:schemeClr w14:val="tx1"/>
            </w14:solidFill>
          </w14:textFill>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lang w:bidi="ar"/>
          <w14:textFill>
            <w14:solidFill>
              <w14:schemeClr w14:val="tx1"/>
            </w14:solidFill>
          </w14:textFill>
        </w:rPr>
        <w:outlineLvl w:val="9"/>
      </w:pPr>
      <w:r>
        <w:rPr>
          <w:rFonts w:hint="eastAsia" w:ascii="宋体" w:hAnsi="宋体" w:eastAsia="宋体" w:cs="宋体"/>
          <w:color w:val="000000" w:themeColor="text1"/>
          <w:highlight w:val="none"/>
          <w:lang w:bidi="ar"/>
          <w14:textFill>
            <w14:solidFill>
              <w14:schemeClr w14:val="tx1"/>
            </w14:solidFill>
          </w14:textFill>
        </w:rPr>
        <w:t xml:space="preserve">投标人未参加开标的，视同认可开标结果。</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lang w:bidi="ar"/>
          <w14:textFill>
            <w14:solidFill>
              <w14:schemeClr w14:val="tx1"/>
            </w14:solidFill>
          </w14:textFill>
        </w:rPr>
        <w:outlineLvl w:val="9"/>
      </w:pPr>
      <w:r>
        <w:rPr>
          <w:rFonts w:hint="eastAsia" w:ascii="宋体" w:hAnsi="宋体" w:eastAsia="宋体" w:cs="宋体"/>
          <w:color w:val="000000" w:themeColor="text1"/>
          <w:highlight w:val="none"/>
          <w:lang w:bidi="ar"/>
          <w14:textFill>
            <w14:solidFill>
              <w14:schemeClr w14:val="tx1"/>
            </w14:solidFill>
          </w14:textFill>
        </w:rPr>
        <w:t xml:space="preserve">24.5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p>
    <w:p>
      <w:pPr>
        <w:ind w:firstLine="480"/>
        <w:keepLines w:val="0"/>
        <w:keepNext w:val="0"/>
        <w:pageBreakBefore w:val="0"/>
        <w:spacing w:line="440" w:lineRule="exact"/>
        <w:rPr>
          <w:rFonts w:hint="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color w:val="000000" w:themeColor="text1"/>
          <w:highlight w:val="none"/>
          <w14:textFill>
            <w14:solidFill>
              <w14:schemeClr w14:val="tx1"/>
            </w14:solidFill>
          </w14:textFill>
        </w:rPr>
      </w:r>
      <w:r/>
    </w:p>
    <w:p>
      <w:pPr>
        <w:ind w:left="0" w:firstLine="0"/>
        <w:jc w:val="center"/>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b/>
          <w:color w:val="000000" w:themeColor="text1"/>
          <w:sz w:val="28"/>
          <w:szCs w:val="28"/>
          <w:highlight w:val="none"/>
          <w14:textFill>
            <w14:solidFill>
              <w14:schemeClr w14:val="tx1"/>
            </w14:solidFill>
          </w14:textFill>
        </w:rPr>
        <w:t xml:space="preserve">五、评标</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25. 公开招标采购项目开标结束后，采购人依法对投标人的资格进行审查。</w:t>
      </w:r>
      <w:r/>
    </w:p>
    <w:p>
      <w:pPr>
        <w:ind w:left="0" w:firstLine="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合格投标人不足3家的，不得评标。</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25.1 评标工作由采购代理机构负责组织，并履行下列职责：</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（一）核对评审专家身份和采购人代表授权函，对评审专家在政府采购活动中的职责履行情况予以记录，并及时将有关违法违规行为向财政部门报告；</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（二）宣布评标纪律；</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（三）公布投标人名单，告知评审专家应当回避的情形；</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（四）组织评标委员会推选评标组长，采购人代表不得担任组长；</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（五）在评标期间采取必要的通讯管理措施，保证评标活动不受外界干扰；</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（六）根据评标委员会的要求介绍政府采购相关政策法规、招标文件；</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（七）维护评标秩序，监督评标委员会依照招标文件规定的评标程序、方法和标准进行独立评审，及时制止和纠正采购人代表、评审专家的倾向性言论或者违法违规行为；</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（八）核对评标结果，有《</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"http://www.caigou2003.com/" \t "_blank"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政府采购</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t xml:space="preserve">货物和服务招标投标管理办法》第六十四条规定情形的，要求评标委员会复核或者书面说明理由，评标委员会拒绝的，应予记录并向本级财政部门报告；</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（九）评审工作完成后，按照规定向评审专家支付劳务报酬和异地评审差旅费，不得向评审专家以外的其他人员支付评审劳务报酬；</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（十）处理与评标有关的其他事项。</w:t>
      </w:r>
      <w:r/>
    </w:p>
    <w:p>
      <w:pPr>
        <w:ind w:firstLine="36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采购人可以在评标前说明项目背景和采购需求，说明内容不得含有歧视性、倾向性意见，不得超出招标文件所述范围。说明应当提交书面材料，并随采购文件一并存档。</w:t>
      </w:r>
      <w:r/>
    </w:p>
    <w:p>
      <w:pPr>
        <w:ind w:firstLine="36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 25.2 评标委员会负责具体评标事务，并独立履行下列职责：</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（一）审查、评价投标文件是否符合招标文件的商务、技术等实质性要求；</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（二）要求投标人对投标文件有关事项作出澄清或者说明；</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（三）对投标文件进行比较和评价；</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（四）确定中标候选人名单，以及根据采购人委托直接确定中标人；</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（五）向采购人、采购代理机构或者有关部门报告评标中发现的违法行为。</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26. 评标方法、评标标准</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26.1评标方法分为最低评标价法和综合评分法。本项目的评标方法：见招标文件第三章《投标资料表》。</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26.2本项目的评标标准：见招标文件第四章《评标标准》。</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27.评标</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27.1评标工作程序：</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（一）投标文件初审。</w:t>
      </w:r>
      <w:r/>
    </w:p>
    <w:p>
      <w:pPr>
        <w:ind w:firstLine="84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资格性检查。</w:t>
      </w:r>
      <w:r/>
    </w:p>
    <w:p>
      <w:pPr>
        <w:ind w:firstLine="84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2</w:t>
      </w:r>
      <w:r>
        <w:rPr>
          <w:rFonts w:hint="eastAsia" w:ascii="宋体" w:hAnsi="宋体" w:eastAsia="宋体" w:cs="宋体"/>
          <w:color w:val="000000" w:themeColor="text1"/>
          <w:highlight w:val="none"/>
          <w:lang w:val="en-US"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符合性检查。</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（二）澄清有关问题。</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（三）比较与评价。</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（四）推荐中标候选供应商名单。</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（五）编写评审报告（评标报告）。</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27.2在评标中，不得改变招标文件中规定的评标标准、方法和中标条件。评标委员会对投标文件响应性的判定基于投标文件本身的内容，而不寻求外部的证据。</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27.3相同品牌产品投标</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27.3.1采用</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"http://lilun.caigou2003.com/recijiedu/2365668.html" \t "_blank"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最低评标价法</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t xml:space="preserve">的采购项目，提供相同品牌产品的不同投标人参加同一合同项下投标的，以其中通过资格审查、符合性审查且报价最低的参加评标；报价相同的，采取随机抽取方式确定，其他投标无效。</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27.3.2使用</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"http://lilun.caigou2003.com/recijiedu/2365667.html" \t "_blank"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综合评分法</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t xml:space="preserve">的采购项目，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27.3.3非单一产品采购项目，采购人应当根据采购项目技术构成、产品价格比重等合理确定核心产品，并在招标文件中载明。多家投标人提供的核心产品品牌相同的，按前两款规定处理。采购人根据采购项目技术构成、产品价格比重等确定核心产品：见招标文件第三章《投标资料表》。</w:t>
      </w:r>
      <w:r/>
    </w:p>
    <w:p>
      <w:pPr>
        <w:ind w:left="480" w:firstLine="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28. 投标文件报价出现前后不一致的（明显笔误的除外），按照下列规定修正：（一）投标文件中开标一览表（报价表）内容与投标文件中相应内容不一致的，以开标一览表（报价表）为准；</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（二）大写金额和小写金额不一致的，以大写金额为准；</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（三）单价金额小数点或者百分比有明显错位的，以开标一览表的总价为准，并修改单价；</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（四）总价金额与按单价汇总金额不一致的，以单价金额计算结果为准。</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同时出现两种以上不一致的，按照前款规定的顺序修正。修正后的报价按照投标人的澄清、说明或者补正，经投标人确认后产生约束力，投标人不确认的，其投标无效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shd w:val="clear" w:color="auto" w:fill="auto"/>
          <w:lang w:val="en-US" w:eastAsia="zh-CN"/>
          <w14:textFill>
            <w14:solidFill>
              <w14:schemeClr w14:val="tx1"/>
            </w14:solidFill>
          </w14:textFill>
        </w:rPr>
        <w:outlineLvl w:val="9"/>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t xml:space="preserve">29.政府采购异常低价投标审查</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shd w:val="clear" w:color="auto" w:fill="auto"/>
          <w14:textFill>
            <w14:solidFill>
              <w14:schemeClr w14:val="tx1"/>
            </w14:solidFill>
          </w14:textFill>
        </w:rPr>
        <w:outlineLvl w:val="9"/>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t xml:space="preserve">（一）评标过程中出现下列情形之一的，评标委员会应当启动异常低价投标审查程序：</w:t>
      </w:r>
      <w:r/>
    </w:p>
    <w:p>
      <w:pPr>
        <w:ind w:firstLine="480"/>
        <w:jc w:val="left"/>
        <w:keepLines w:val="0"/>
        <w:keepNext w:val="0"/>
        <w:pageBreakBefore w:val="0"/>
        <w:spacing w:line="440" w:lineRule="exact"/>
        <w:widowControl/>
        <w:rPr>
          <w:rFonts w:hint="default" w:ascii="宋体" w:hAnsi="宋体" w:eastAsia="宋体" w:cs="宋体"/>
          <w:color w:val="000000" w:themeColor="text1"/>
          <w:highlight w:val="none"/>
          <w:shd w:val="clear" w:color="auto" w:fill="auto"/>
          <w:lang w:val="en-US" w:eastAsia="zh-CN"/>
          <w14:textFill>
            <w14:solidFill>
              <w14:schemeClr w14:val="tx1"/>
            </w14:solidFill>
          </w14:textFill>
        </w:rPr>
        <w:outlineLvl w:val="9"/>
      </w:pPr>
      <w:r>
        <w:rPr>
          <w:rFonts w:hint="default" w:ascii="宋体" w:hAnsi="宋体" w:eastAsia="宋体" w:cs="宋体"/>
          <w:color w:val="000000" w:themeColor="text1"/>
          <w:highlight w:val="none"/>
          <w:shd w:val="clear" w:color="auto" w:fill="auto"/>
          <w:lang w:val="en-US" w:eastAsia="zh-CN"/>
          <w14:textFill>
            <w14:solidFill>
              <w14:schemeClr w14:val="tx1"/>
            </w14:solidFill>
          </w14:textFill>
        </w:rPr>
        <w:t xml:space="preserve">1.投标报价低于全部通过符合性审查供应商投标报价平均值50%的，即投标报价</w:t>
      </w: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t xml:space="preserve">＜</w:t>
      </w:r>
      <w:r>
        <w:rPr>
          <w:rFonts w:hint="default" w:ascii="宋体" w:hAnsi="宋体" w:eastAsia="宋体" w:cs="宋体"/>
          <w:color w:val="000000" w:themeColor="text1"/>
          <w:highlight w:val="none"/>
          <w:shd w:val="clear" w:color="auto" w:fill="auto"/>
          <w:lang w:val="en-US" w:eastAsia="zh-CN"/>
          <w14:textFill>
            <w14:solidFill>
              <w14:schemeClr w14:val="tx1"/>
            </w14:solidFill>
          </w14:textFill>
        </w:rPr>
        <w:t xml:space="preserve">全部通过符合性审查供应商投标报价平均值×50%；</w:t>
      </w:r>
      <w:r/>
    </w:p>
    <w:p>
      <w:pPr>
        <w:ind w:firstLine="480"/>
        <w:jc w:val="left"/>
        <w:keepLines w:val="0"/>
        <w:keepNext w:val="0"/>
        <w:pageBreakBefore w:val="0"/>
        <w:spacing w:line="440" w:lineRule="exact"/>
        <w:widowControl/>
        <w:rPr>
          <w:rFonts w:hint="default" w:ascii="宋体" w:hAnsi="宋体" w:eastAsia="宋体" w:cs="宋体"/>
          <w:color w:val="000000" w:themeColor="text1"/>
          <w:highlight w:val="none"/>
          <w:shd w:val="clear" w:color="auto" w:fill="auto"/>
          <w:lang w:val="en-US" w:eastAsia="zh-CN"/>
          <w14:textFill>
            <w14:solidFill>
              <w14:schemeClr w14:val="tx1"/>
            </w14:solidFill>
          </w14:textFill>
        </w:rPr>
        <w:outlineLvl w:val="9"/>
      </w:pPr>
      <w:r>
        <w:rPr>
          <w:rFonts w:hint="default" w:ascii="宋体" w:hAnsi="宋体" w:eastAsia="宋体" w:cs="宋体"/>
          <w:color w:val="000000" w:themeColor="text1"/>
          <w:highlight w:val="none"/>
          <w:shd w:val="clear" w:color="auto" w:fill="auto"/>
          <w:lang w:val="en-US" w:eastAsia="zh-CN"/>
          <w14:textFill>
            <w14:solidFill>
              <w14:schemeClr w14:val="tx1"/>
            </w14:solidFill>
          </w14:textFill>
        </w:rPr>
        <w:t xml:space="preserve">2.投标报价低于通过符合性审查的次低报价供应商投标报价50%的，即投标报价</w:t>
      </w: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t xml:space="preserve">＜</w:t>
      </w:r>
      <w:r>
        <w:rPr>
          <w:rFonts w:hint="default" w:ascii="宋体" w:hAnsi="宋体" w:eastAsia="宋体" w:cs="宋体"/>
          <w:color w:val="000000" w:themeColor="text1"/>
          <w:highlight w:val="none"/>
          <w:shd w:val="clear" w:color="auto" w:fill="auto"/>
          <w:lang w:val="en-US" w:eastAsia="zh-CN"/>
          <w14:textFill>
            <w14:solidFill>
              <w14:schemeClr w14:val="tx1"/>
            </w14:solidFill>
          </w14:textFill>
        </w:rPr>
        <w:t xml:space="preserve">通过符合性审查的次低报价供应商投标报价×50%；</w:t>
      </w:r>
      <w:r/>
    </w:p>
    <w:p>
      <w:pPr>
        <w:ind w:firstLine="480"/>
        <w:jc w:val="left"/>
        <w:keepLines w:val="0"/>
        <w:keepNext w:val="0"/>
        <w:pageBreakBefore w:val="0"/>
        <w:spacing w:line="440" w:lineRule="exact"/>
        <w:widowControl/>
        <w:rPr>
          <w:rFonts w:hint="default" w:ascii="宋体" w:hAnsi="宋体" w:eastAsia="宋体" w:cs="宋体"/>
          <w:color w:val="000000" w:themeColor="text1"/>
          <w:highlight w:val="none"/>
          <w:shd w:val="clear" w:color="auto" w:fill="auto"/>
          <w:lang w:val="en-US" w:eastAsia="zh-CN"/>
          <w14:textFill>
            <w14:solidFill>
              <w14:schemeClr w14:val="tx1"/>
            </w14:solidFill>
          </w14:textFill>
        </w:rPr>
        <w:outlineLvl w:val="9"/>
      </w:pPr>
      <w:r>
        <w:rPr>
          <w:rFonts w:hint="default" w:ascii="宋体" w:hAnsi="宋体" w:eastAsia="宋体" w:cs="宋体"/>
          <w:color w:val="000000" w:themeColor="text1"/>
          <w:highlight w:val="none"/>
          <w:shd w:val="clear" w:color="auto" w:fill="auto"/>
          <w:lang w:val="en-US" w:eastAsia="zh-CN"/>
          <w14:textFill>
            <w14:solidFill>
              <w14:schemeClr w14:val="tx1"/>
            </w14:solidFill>
          </w14:textFill>
        </w:rPr>
        <w:t xml:space="preserve">3.投标报价低于采购项目最高限价45%的，即投标报价</w:t>
      </w: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t xml:space="preserve">＜</w:t>
      </w:r>
      <w:r>
        <w:rPr>
          <w:rFonts w:hint="default" w:ascii="宋体" w:hAnsi="宋体" w:eastAsia="宋体" w:cs="宋体"/>
          <w:color w:val="000000" w:themeColor="text1"/>
          <w:highlight w:val="none"/>
          <w:shd w:val="clear" w:color="auto" w:fill="auto"/>
          <w:lang w:val="en-US" w:eastAsia="zh-CN"/>
          <w14:textFill>
            <w14:solidFill>
              <w14:schemeClr w14:val="tx1"/>
            </w14:solidFill>
          </w14:textFill>
        </w:rPr>
        <w:t xml:space="preserve">采购项目最高限价×45%；</w:t>
      </w:r>
      <w:r/>
    </w:p>
    <w:p>
      <w:pPr>
        <w:ind w:firstLine="480"/>
        <w:jc w:val="left"/>
        <w:keepLines w:val="0"/>
        <w:keepNext w:val="0"/>
        <w:pageBreakBefore w:val="0"/>
        <w:spacing w:line="440" w:lineRule="exact"/>
        <w:widowControl/>
        <w:rPr>
          <w:rFonts w:hint="default" w:ascii="宋体" w:hAnsi="宋体" w:eastAsia="宋体" w:cs="宋体"/>
          <w:color w:val="000000" w:themeColor="text1"/>
          <w:highlight w:val="none"/>
          <w:shd w:val="clear" w:color="auto" w:fill="auto"/>
          <w:lang w:val="en-US" w:eastAsia="zh-CN"/>
          <w14:textFill>
            <w14:solidFill>
              <w14:schemeClr w14:val="tx1"/>
            </w14:solidFill>
          </w14:textFill>
        </w:rPr>
        <w:outlineLvl w:val="9"/>
      </w:pPr>
      <w:r>
        <w:rPr>
          <w:rFonts w:hint="default" w:ascii="宋体" w:hAnsi="宋体" w:eastAsia="宋体" w:cs="宋体"/>
          <w:color w:val="000000" w:themeColor="text1"/>
          <w:highlight w:val="none"/>
          <w:shd w:val="clear" w:color="auto" w:fill="auto"/>
          <w:lang w:val="en-US" w:eastAsia="zh-CN"/>
          <w14:textFill>
            <w14:solidFill>
              <w14:schemeClr w14:val="tx1"/>
            </w14:solidFill>
          </w14:textFill>
        </w:rPr>
        <w:t xml:space="preserve">4.评</w:t>
      </w: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t xml:space="preserve">标</w:t>
      </w:r>
      <w:r>
        <w:rPr>
          <w:rFonts w:hint="default" w:ascii="宋体" w:hAnsi="宋体" w:eastAsia="宋体" w:cs="宋体"/>
          <w:color w:val="000000" w:themeColor="text1"/>
          <w:highlight w:val="none"/>
          <w:shd w:val="clear" w:color="auto" w:fill="auto"/>
          <w:lang w:val="en-US" w:eastAsia="zh-CN"/>
          <w14:textFill>
            <w14:solidFill>
              <w14:schemeClr w14:val="tx1"/>
            </w14:solidFill>
          </w14:textFill>
        </w:rPr>
        <w:t xml:space="preserve">委员会基于专业判断，认为供应商报价过低，有可能影响产品质量或者不能诚信履约的其他情形。</w:t>
      </w:r>
      <w:r/>
    </w:p>
    <w:p>
      <w:pPr>
        <w:ind w:firstLine="480"/>
        <w:jc w:val="left"/>
        <w:keepLines w:val="0"/>
        <w:keepNext w:val="0"/>
        <w:pageBreakBefore w:val="0"/>
        <w:spacing w:line="440" w:lineRule="exact"/>
        <w:widowControl/>
        <w:rPr>
          <w:rFonts w:hint="default" w:ascii="宋体" w:hAnsi="宋体" w:eastAsia="宋体" w:cs="宋体"/>
          <w:color w:val="000000" w:themeColor="text1"/>
          <w:highlight w:val="none"/>
          <w:shd w:val="clear" w:color="auto" w:fill="auto"/>
          <w:lang w:val="en-US" w:eastAsia="zh-CN"/>
          <w14:textFill>
            <w14:solidFill>
              <w14:schemeClr w14:val="tx1"/>
            </w14:solidFill>
          </w14:textFill>
        </w:rPr>
        <w:outlineLvl w:val="9"/>
      </w:pPr>
      <w:r>
        <w:rPr>
          <w:rFonts w:hint="default" w:ascii="宋体" w:hAnsi="宋体" w:eastAsia="宋体" w:cs="宋体"/>
          <w:color w:val="000000" w:themeColor="text1"/>
          <w:highlight w:val="none"/>
          <w:shd w:val="clear" w:color="auto" w:fill="auto"/>
          <w:lang w:val="en-US" w:eastAsia="zh-CN"/>
          <w14:textFill>
            <w14:solidFill>
              <w14:schemeClr w14:val="tx1"/>
            </w14:solidFill>
          </w14:textFill>
        </w:rPr>
        <w:t xml:space="preserve">（二）评审委员会启动异常低价投标审查后，应当要求相关供应商在评</w:t>
      </w: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t xml:space="preserve">标</w:t>
      </w:r>
      <w:r>
        <w:rPr>
          <w:rFonts w:hint="default" w:ascii="宋体" w:hAnsi="宋体" w:eastAsia="宋体" w:cs="宋体"/>
          <w:color w:val="000000" w:themeColor="text1"/>
          <w:highlight w:val="none"/>
          <w:shd w:val="clear" w:color="auto" w:fill="auto"/>
          <w:lang w:val="en-US" w:eastAsia="zh-CN"/>
          <w14:textFill>
            <w14:solidFill>
              <w14:schemeClr w14:val="tx1"/>
            </w14:solidFill>
          </w14:textFill>
        </w:rPr>
        <w:t xml:space="preserve">现场合理的时间内</w:t>
      </w:r>
      <w:r>
        <w:rPr>
          <w:rFonts w:hint="eastAsia" w:ascii="宋体" w:hAnsi="宋体" w:eastAsia="宋体" w:cs="Times New Roman"/>
          <w:b w:val="0"/>
          <w:bCs w:val="0"/>
          <w:color w:val="000000" w:themeColor="text1"/>
          <w:sz w:val="24"/>
          <w:highlight w:val="none"/>
          <w:shd w:val="clear" w:color="auto" w:fill="auto"/>
          <w14:textFill>
            <w14:solidFill>
              <w14:schemeClr w14:val="tx1"/>
            </w14:solidFill>
          </w14:textFill>
        </w:rPr>
        <w:t xml:space="preserve">通过“苏采云”系统（使用“CA数字证书”,加盖电子签章）</w:t>
      </w:r>
      <w:r>
        <w:rPr>
          <w:rFonts w:hint="default" w:ascii="宋体" w:hAnsi="宋体" w:eastAsia="宋体" w:cs="宋体"/>
          <w:color w:val="000000" w:themeColor="text1"/>
          <w:highlight w:val="none"/>
          <w:shd w:val="clear" w:color="auto" w:fill="auto"/>
          <w:lang w:val="en-US" w:eastAsia="zh-CN"/>
          <w14:textFill>
            <w14:solidFill>
              <w14:schemeClr w14:val="tx1"/>
            </w14:solidFill>
          </w14:textFill>
        </w:rPr>
        <w:t xml:space="preserve">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w:t>
      </w: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t xml:space="preserve">标</w:t>
      </w:r>
      <w:r>
        <w:rPr>
          <w:rFonts w:hint="default" w:ascii="宋体" w:hAnsi="宋体" w:eastAsia="宋体" w:cs="宋体"/>
          <w:color w:val="000000" w:themeColor="text1"/>
          <w:highlight w:val="none"/>
          <w:shd w:val="clear" w:color="auto" w:fill="auto"/>
          <w:lang w:val="en-US" w:eastAsia="zh-CN"/>
          <w14:textFill>
            <w14:solidFill>
              <w14:schemeClr w14:val="tx1"/>
            </w14:solidFill>
          </w14:textFill>
        </w:rPr>
        <w:t xml:space="preserve">现场可不再重复提交。</w:t>
      </w:r>
      <w:r/>
    </w:p>
    <w:p>
      <w:pPr>
        <w:ind w:firstLine="480"/>
        <w:jc w:val="left"/>
        <w:keepLines w:val="0"/>
        <w:keepNext w:val="0"/>
        <w:pageBreakBefore w:val="0"/>
        <w:spacing w:line="440" w:lineRule="exact"/>
        <w:widowControl/>
        <w:rPr>
          <w:rFonts w:hint="default" w:ascii="宋体" w:hAnsi="宋体" w:eastAsia="宋体" w:cs="宋体"/>
          <w:color w:val="000000" w:themeColor="text1"/>
          <w:highlight w:val="none"/>
          <w:shd w:val="clear" w:color="auto" w:fill="auto"/>
          <w:lang w:val="en-US" w:eastAsia="zh-CN"/>
          <w14:textFill>
            <w14:solidFill>
              <w14:schemeClr w14:val="tx1"/>
            </w14:solidFill>
          </w14:textFill>
        </w:rPr>
        <w:outlineLvl w:val="9"/>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t xml:space="preserve">（三）</w:t>
      </w:r>
      <w:r>
        <w:rPr>
          <w:rFonts w:hint="default" w:ascii="宋体" w:hAnsi="宋体" w:eastAsia="宋体" w:cs="宋体"/>
          <w:color w:val="000000" w:themeColor="text1"/>
          <w:highlight w:val="none"/>
          <w:shd w:val="clear" w:color="auto" w:fill="auto"/>
          <w:lang w:val="en-US" w:eastAsia="zh-CN"/>
          <w14:textFill>
            <w14:solidFill>
              <w14:schemeClr w14:val="tx1"/>
            </w14:solidFill>
          </w14:textFill>
        </w:rPr>
        <w:t xml:space="preserve">评</w:t>
      </w: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t xml:space="preserve">标</w:t>
      </w:r>
      <w:r>
        <w:rPr>
          <w:rFonts w:hint="default" w:ascii="宋体" w:hAnsi="宋体" w:eastAsia="宋体" w:cs="宋体"/>
          <w:color w:val="000000" w:themeColor="text1"/>
          <w:highlight w:val="none"/>
          <w:shd w:val="clear" w:color="auto" w:fill="auto"/>
          <w:lang w:val="en-US" w:eastAsia="zh-CN"/>
          <w14:textFill>
            <w14:solidFill>
              <w14:schemeClr w14:val="tx1"/>
            </w14:solidFill>
          </w14:textFill>
        </w:rPr>
        <w:t xml:space="preserve">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w:t>
      </w: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t xml:space="preserve">标</w:t>
      </w:r>
      <w:r>
        <w:rPr>
          <w:rFonts w:hint="default" w:ascii="宋体" w:hAnsi="宋体" w:eastAsia="宋体" w:cs="宋体"/>
          <w:color w:val="000000" w:themeColor="text1"/>
          <w:highlight w:val="none"/>
          <w:shd w:val="clear" w:color="auto" w:fill="auto"/>
          <w:lang w:val="en-US" w:eastAsia="zh-CN"/>
          <w14:textFill>
            <w14:solidFill>
              <w14:schemeClr w14:val="tx1"/>
            </w14:solidFill>
          </w14:textFill>
        </w:rPr>
        <w:t xml:space="preserve">委员会应当将其作为无效投标处理。</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shd w:val="clear" w:color="auto" w:fill="auto"/>
          <w:lang w:val="en-US" w:eastAsia="zh-CN"/>
          <w14:textFill>
            <w14:solidFill>
              <w14:schemeClr w14:val="tx1"/>
            </w14:solidFill>
          </w14:textFill>
        </w:rPr>
        <w:outlineLvl w:val="9"/>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t xml:space="preserve">（四）</w:t>
      </w:r>
      <w:r>
        <w:rPr>
          <w:rFonts w:hint="default" w:ascii="宋体" w:hAnsi="宋体" w:eastAsia="宋体" w:cs="宋体"/>
          <w:color w:val="000000" w:themeColor="text1"/>
          <w:highlight w:val="none"/>
          <w:shd w:val="clear" w:color="auto" w:fill="auto"/>
          <w:lang w:val="en-US" w:eastAsia="zh-CN"/>
          <w14:textFill>
            <w14:solidFill>
              <w14:schemeClr w14:val="tx1"/>
            </w14:solidFill>
          </w14:textFill>
        </w:rPr>
        <w:t xml:space="preserve">异常低价投标审查的启动原因、审查意见和审查结果应当在评</w:t>
      </w: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t xml:space="preserve">标</w:t>
      </w:r>
      <w:r>
        <w:rPr>
          <w:rFonts w:hint="default" w:ascii="宋体" w:hAnsi="宋体" w:eastAsia="宋体" w:cs="宋体"/>
          <w:color w:val="000000" w:themeColor="text1"/>
          <w:highlight w:val="none"/>
          <w:shd w:val="clear" w:color="auto" w:fill="auto"/>
          <w:lang w:val="en-US" w:eastAsia="zh-CN"/>
          <w14:textFill>
            <w14:solidFill>
              <w14:schemeClr w14:val="tx1"/>
            </w14:solidFill>
          </w14:textFill>
        </w:rPr>
        <w:t xml:space="preserve">报告中记录，并随供应商提供的相关书面说明及证明材料，以及评</w:t>
      </w: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t xml:space="preserve">标</w:t>
      </w:r>
      <w:r>
        <w:rPr>
          <w:rFonts w:hint="default" w:ascii="宋体" w:hAnsi="宋体" w:eastAsia="宋体" w:cs="宋体"/>
          <w:color w:val="000000" w:themeColor="text1"/>
          <w:highlight w:val="none"/>
          <w:shd w:val="clear" w:color="auto" w:fill="auto"/>
          <w:lang w:val="en-US" w:eastAsia="zh-CN"/>
          <w14:textFill>
            <w14:solidFill>
              <w14:schemeClr w14:val="tx1"/>
            </w14:solidFill>
          </w14:textFill>
        </w:rPr>
        <w:t xml:space="preserve">委员会有关互联网浏览、查询历史一并归档。</w:t>
      </w:r>
      <w:r/>
    </w:p>
    <w:p>
      <w:pPr>
        <w:ind w:firstLine="480"/>
        <w:jc w:val="left"/>
        <w:keepLines w:val="0"/>
        <w:keepNext w:val="0"/>
        <w:pageBreakBefore w:val="0"/>
        <w:spacing w:line="440" w:lineRule="exact"/>
        <w:widowControl/>
        <w:rPr>
          <w:rFonts w:hint="eastAsia"/>
          <w:color w:val="000000" w:themeColor="text1"/>
          <w:highlight w:val="none"/>
          <w:shd w:val="clear" w:color="auto" w:fill="auto"/>
          <w:lang w:eastAsia="zh-CN"/>
          <w14:textFill>
            <w14:solidFill>
              <w14:schemeClr w14:val="tx1"/>
            </w14:solidFill>
          </w14:textFill>
        </w:rPr>
        <w:outlineLvl w:val="9"/>
      </w:pPr>
      <w:r>
        <w:rPr>
          <w:rFonts w:hint="eastAsia" w:ascii="宋体" w:hAnsi="宋体" w:eastAsia="宋体" w:cs="宋体"/>
          <w:bCs/>
          <w:color w:val="000000" w:themeColor="text1"/>
          <w:highlight w:val="none"/>
          <w:shd w:val="clear" w:color="auto" w:fill="auto"/>
          <w14:textFill>
            <w14:solidFill>
              <w14:schemeClr w14:val="tx1"/>
            </w14:solidFill>
          </w14:textFill>
        </w:rPr>
        <w:t xml:space="preserve">特别说明：“苏采云”系统通过“江苏省政府采购一体化不见面开标大厅”提醒供应商。供应商自行查看，供应商因自身原因不及时查看导致没收到信息，“苏采云”系统不承担任何责任。</w:t>
      </w:r>
      <w:r/>
    </w:p>
    <w:p>
      <w:pPr>
        <w:ind w:firstLine="480"/>
        <w:jc w:val="left"/>
        <w:keepLines w:val="0"/>
        <w:keepNext w:val="0"/>
        <w:pageBreakBefore w:val="0"/>
        <w:spacing w:line="440" w:lineRule="exact"/>
        <w:widowControl/>
        <w:rPr>
          <w:rFonts w:hint="eastAsia" w:ascii="宋体" w:hAnsi="宋体" w:eastAsia="宋体" w:cs="宋体"/>
          <w:b/>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30. 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keepLines w:val="0"/>
        <w:keepNext w:val="0"/>
        <w:pageBreakBefore w:val="0"/>
        <w:spacing w:line="440" w:lineRule="exact"/>
        <w:widowControl/>
        <w:rPr>
          <w:rFonts w:hint="eastAsia" w:ascii="宋体" w:hAnsi="宋体" w:eastAsia="宋体" w:cs="宋体"/>
          <w:bCs/>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31. 中标无效的确认：</w:t>
      </w:r>
      <w:r/>
    </w:p>
    <w:p>
      <w:pPr>
        <w:ind w:firstLine="480"/>
        <w:jc w:val="left"/>
        <w:keepLines w:val="0"/>
        <w:keepNext w:val="0"/>
        <w:pageBreakBefore w:val="0"/>
        <w:spacing w:line="440" w:lineRule="exact"/>
        <w:widowControl/>
        <w:rPr>
          <w:rFonts w:hint="eastAsia" w:ascii="宋体" w:hAnsi="宋体" w:eastAsia="宋体" w:cs="宋体"/>
          <w:bCs/>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31.1 提供虚假材料谋取中标的；</w:t>
      </w:r>
      <w:r/>
    </w:p>
    <w:p>
      <w:pPr>
        <w:ind w:firstLine="480"/>
        <w:jc w:val="left"/>
        <w:keepLines w:val="0"/>
        <w:keepNext w:val="0"/>
        <w:pageBreakBefore w:val="0"/>
        <w:spacing w:line="440" w:lineRule="exact"/>
        <w:widowControl/>
        <w:rPr>
          <w:rFonts w:hint="eastAsia" w:ascii="宋体" w:hAnsi="宋体" w:eastAsia="宋体" w:cs="宋体"/>
          <w:bCs/>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31.2采取不正当手段诋毁、排挤其他投标人的；</w:t>
      </w:r>
      <w:r/>
    </w:p>
    <w:p>
      <w:pPr>
        <w:ind w:firstLine="480"/>
        <w:jc w:val="left"/>
        <w:keepLines w:val="0"/>
        <w:keepNext w:val="0"/>
        <w:pageBreakBefore w:val="0"/>
        <w:spacing w:line="440" w:lineRule="exact"/>
        <w:widowControl/>
        <w:rPr>
          <w:rFonts w:hint="eastAsia" w:ascii="宋体" w:hAnsi="宋体" w:eastAsia="宋体" w:cs="宋体"/>
          <w:bCs/>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31.3与招标</w:t>
      </w:r>
      <w:r>
        <w:rPr>
          <w:rFonts w:hint="eastAsia" w:ascii="宋体" w:hAnsi="宋体" w:eastAsia="宋体" w:cs="宋体"/>
          <w:bCs/>
          <w:color w:val="000000" w:themeColor="text1"/>
          <w:highlight w:val="none"/>
          <w:lang w:eastAsia="zh-CN"/>
          <w14:textFill>
            <w14:solidFill>
              <w14:schemeClr w14:val="tx1"/>
            </w14:solidFill>
          </w14:textFill>
        </w:rPr>
        <w:t xml:space="preserve">采购人</w:t>
      </w:r>
      <w:r>
        <w:rPr>
          <w:rFonts w:hint="eastAsia" w:ascii="宋体" w:hAnsi="宋体" w:eastAsia="宋体" w:cs="宋体"/>
          <w:bCs/>
          <w:color w:val="000000" w:themeColor="text1"/>
          <w:highlight w:val="none"/>
          <w14:textFill>
            <w14:solidFill>
              <w14:schemeClr w14:val="tx1"/>
            </w14:solidFill>
          </w14:textFill>
        </w:rPr>
        <w:t xml:space="preserve">、其他投标人恶意串通的；</w:t>
      </w:r>
      <w:r/>
    </w:p>
    <w:p>
      <w:pPr>
        <w:ind w:firstLine="480"/>
        <w:jc w:val="left"/>
        <w:keepLines w:val="0"/>
        <w:keepNext w:val="0"/>
        <w:pageBreakBefore w:val="0"/>
        <w:spacing w:line="440" w:lineRule="exact"/>
        <w:widowControl/>
        <w:rPr>
          <w:rFonts w:hint="eastAsia" w:ascii="宋体" w:hAnsi="宋体" w:eastAsia="宋体" w:cs="宋体"/>
          <w:bCs/>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31.4向招标</w:t>
      </w:r>
      <w:r>
        <w:rPr>
          <w:rFonts w:hint="eastAsia" w:ascii="宋体" w:hAnsi="宋体" w:eastAsia="宋体" w:cs="宋体"/>
          <w:bCs/>
          <w:color w:val="000000" w:themeColor="text1"/>
          <w:highlight w:val="none"/>
          <w:lang w:eastAsia="zh-CN"/>
          <w14:textFill>
            <w14:solidFill>
              <w14:schemeClr w14:val="tx1"/>
            </w14:solidFill>
          </w14:textFill>
        </w:rPr>
        <w:t xml:space="preserve">采购人</w:t>
      </w:r>
      <w:r>
        <w:rPr>
          <w:rFonts w:hint="eastAsia" w:ascii="宋体" w:hAnsi="宋体" w:eastAsia="宋体" w:cs="宋体"/>
          <w:bCs/>
          <w:color w:val="000000" w:themeColor="text1"/>
          <w:highlight w:val="none"/>
          <w14:textFill>
            <w14:solidFill>
              <w14:schemeClr w14:val="tx1"/>
            </w14:solidFill>
          </w14:textFill>
        </w:rPr>
        <w:t xml:space="preserve">行贿或者提供其他不正当利益的；</w:t>
      </w:r>
      <w:r/>
    </w:p>
    <w:p>
      <w:pPr>
        <w:ind w:firstLine="480"/>
        <w:jc w:val="left"/>
        <w:keepLines w:val="0"/>
        <w:keepNext w:val="0"/>
        <w:pageBreakBefore w:val="0"/>
        <w:spacing w:line="440" w:lineRule="exact"/>
        <w:widowControl/>
        <w:rPr>
          <w:rFonts w:hint="eastAsia" w:ascii="宋体" w:hAnsi="宋体" w:eastAsia="宋体" w:cs="宋体"/>
          <w:bCs/>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31.5在招标过程中与招标</w:t>
      </w:r>
      <w:r>
        <w:rPr>
          <w:rFonts w:hint="eastAsia" w:ascii="宋体" w:hAnsi="宋体" w:eastAsia="宋体" w:cs="宋体"/>
          <w:bCs/>
          <w:color w:val="000000" w:themeColor="text1"/>
          <w:highlight w:val="none"/>
          <w:lang w:eastAsia="zh-CN"/>
          <w14:textFill>
            <w14:solidFill>
              <w14:schemeClr w14:val="tx1"/>
            </w14:solidFill>
          </w14:textFill>
        </w:rPr>
        <w:t xml:space="preserve">采购人</w:t>
      </w:r>
      <w:r>
        <w:rPr>
          <w:rFonts w:hint="eastAsia" w:ascii="宋体" w:hAnsi="宋体" w:eastAsia="宋体" w:cs="宋体"/>
          <w:bCs/>
          <w:color w:val="000000" w:themeColor="text1"/>
          <w:highlight w:val="none"/>
          <w14:textFill>
            <w14:solidFill>
              <w14:schemeClr w14:val="tx1"/>
            </w14:solidFill>
          </w14:textFill>
        </w:rPr>
        <w:t xml:space="preserve">进行协商谈判、不按照招标文件和中标供应商的投标文件订立合同，或者与采购人另行订立背离合同实质性内容的协议的；</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31.6拒绝有关部门监督检查或者提供虚假情况的</w:t>
      </w:r>
      <w:r>
        <w:rPr>
          <w:rFonts w:hint="eastAsia" w:ascii="宋体" w:hAnsi="宋体" w:eastAsia="宋体" w:cs="宋体"/>
          <w:b/>
          <w:color w:val="000000" w:themeColor="text1"/>
          <w:highlight w:val="none"/>
          <w14:textFill>
            <w14:solidFill>
              <w14:schemeClr w14:val="tx1"/>
            </w14:solidFill>
          </w14:textFill>
        </w:rPr>
        <w:t xml:space="preserve">。</w:t>
      </w:r>
      <w:r/>
    </w:p>
    <w:p>
      <w:pPr>
        <w:ind w:firstLine="480"/>
        <w:jc w:val="left"/>
        <w:keepLines w:val="0"/>
        <w:keepNext w:val="0"/>
        <w:pageBreakBefore w:val="0"/>
        <w:spacing w:line="440" w:lineRule="exact"/>
        <w:widowControl/>
        <w:rPr>
          <w:rFonts w:hint="eastAsia" w:ascii="宋体" w:hAnsi="宋体" w:eastAsia="宋体" w:cs="宋体"/>
          <w:bCs/>
          <w:color w:val="000000" w:themeColor="text1"/>
          <w:highlight w:val="none"/>
          <w:lang w:val="en-US" w:eastAsia="zh-CN"/>
          <w14:textFill>
            <w14:solidFill>
              <w14:schemeClr w14:val="tx1"/>
            </w14:solidFill>
          </w14:textFill>
        </w:rPr>
        <w:outlineLvl w:val="9"/>
      </w:pPr>
      <w:r>
        <w:rPr>
          <w:rFonts w:hint="eastAsia" w:ascii="宋体" w:hAnsi="宋体" w:eastAsia="宋体" w:cs="宋体"/>
          <w:bCs/>
          <w:color w:val="000000" w:themeColor="text1"/>
          <w:highlight w:val="none"/>
          <w:lang w:val="en-US" w:eastAsia="zh-CN"/>
          <w14:textFill>
            <w14:solidFill>
              <w14:schemeClr w14:val="tx1"/>
            </w14:solidFill>
          </w14:textFill>
        </w:rPr>
        <w:t xml:space="preserve">32.无效投标条款和废标条款</w:t>
      </w:r>
      <w:r/>
    </w:p>
    <w:p>
      <w:pPr>
        <w:ind w:firstLine="480"/>
        <w:jc w:val="left"/>
        <w:keepLines w:val="0"/>
        <w:keepNext w:val="0"/>
        <w:pageBreakBefore w:val="0"/>
        <w:spacing w:line="440" w:lineRule="exact"/>
        <w:widowControl/>
        <w:rPr>
          <w:rFonts w:hint="eastAsia" w:ascii="宋体" w:hAnsi="宋体" w:eastAsia="宋体" w:cs="宋体"/>
          <w:bCs/>
          <w:color w:val="000000" w:themeColor="text1"/>
          <w:highlight w:val="none"/>
          <w:lang w:val="en-US" w:eastAsia="zh-CN"/>
          <w14:textFill>
            <w14:solidFill>
              <w14:schemeClr w14:val="tx1"/>
            </w14:solidFill>
          </w14:textFill>
        </w:rPr>
        <w:outlineLvl w:val="9"/>
      </w:pPr>
      <w:r>
        <w:rPr>
          <w:rFonts w:hint="eastAsia" w:ascii="宋体" w:hAnsi="宋体" w:eastAsia="宋体" w:cs="宋体"/>
          <w:bCs/>
          <w:color w:val="000000" w:themeColor="text1"/>
          <w:highlight w:val="none"/>
          <w:lang w:val="en-US" w:eastAsia="zh-CN"/>
          <w14:textFill>
            <w14:solidFill>
              <w14:schemeClr w14:val="tx1"/>
            </w14:solidFill>
          </w14:textFill>
        </w:rPr>
        <w:t xml:space="preserve">32.1无效投标条款</w:t>
      </w:r>
      <w:r/>
    </w:p>
    <w:p>
      <w:pPr>
        <w:ind w:firstLine="480"/>
        <w:jc w:val="left"/>
        <w:keepLines w:val="0"/>
        <w:keepNext w:val="0"/>
        <w:pageBreakBefore w:val="0"/>
        <w:spacing w:line="440" w:lineRule="exact"/>
        <w:widowControl/>
        <w:rPr>
          <w:rFonts w:hint="default" w:ascii="宋体" w:hAnsi="宋体" w:eastAsia="宋体" w:cs="宋体"/>
          <w:bCs/>
          <w:color w:val="000000" w:themeColor="text1"/>
          <w:highlight w:val="none"/>
          <w:lang w:val="en-US" w:eastAsia="zh-CN"/>
          <w14:textFill>
            <w14:solidFill>
              <w14:schemeClr w14:val="tx1"/>
            </w14:solidFill>
          </w14:textFill>
        </w:rPr>
        <w:outlineLvl w:val="9"/>
      </w:pPr>
      <w:r>
        <w:rPr>
          <w:rFonts w:hint="eastAsia" w:ascii="宋体" w:hAnsi="宋体" w:eastAsia="宋体" w:cs="宋体"/>
          <w:bCs/>
          <w:color w:val="000000" w:themeColor="text1"/>
          <w:highlight w:val="none"/>
          <w:lang w:val="en-US" w:eastAsia="zh-CN"/>
          <w14:textFill>
            <w14:solidFill>
              <w14:schemeClr w14:val="tx1"/>
            </w14:solidFill>
          </w14:textFill>
        </w:rPr>
        <w:t xml:space="preserve">32.1.1 投标人在苏采云系统规定的时间内未成功解密电子投标文件的； </w:t>
      </w:r>
      <w:r/>
    </w:p>
    <w:p>
      <w:pPr>
        <w:ind w:firstLine="480"/>
        <w:jc w:val="left"/>
        <w:keepLines w:val="0"/>
        <w:keepNext w:val="0"/>
        <w:pageBreakBefore w:val="0"/>
        <w:spacing w:line="440" w:lineRule="exact"/>
        <w:widowControl/>
        <w:rPr>
          <w:rFonts w:hint="eastAsia" w:ascii="宋体" w:hAnsi="宋体" w:eastAsia="宋体" w:cs="宋体"/>
          <w:bCs/>
          <w:color w:val="000000" w:themeColor="text1"/>
          <w:highlight w:val="none"/>
          <w:lang w:val="en-US" w:eastAsia="zh-CN"/>
          <w14:textFill>
            <w14:solidFill>
              <w14:schemeClr w14:val="tx1"/>
            </w14:solidFill>
          </w14:textFill>
        </w:rPr>
        <w:outlineLvl w:val="9"/>
      </w:pPr>
      <w:r>
        <w:rPr>
          <w:rFonts w:hint="eastAsia" w:ascii="宋体" w:hAnsi="宋体" w:eastAsia="宋体" w:cs="宋体"/>
          <w:bCs/>
          <w:color w:val="000000" w:themeColor="text1"/>
          <w:highlight w:val="none"/>
          <w:lang w:val="en-US" w:eastAsia="zh-CN"/>
          <w14:textFill>
            <w14:solidFill>
              <w14:schemeClr w14:val="tx1"/>
            </w14:solidFill>
          </w14:textFill>
        </w:rPr>
        <w:t xml:space="preserve">32.1.2 投标人未按照招标文件要求上传电子投标文件的；</w:t>
      </w:r>
      <w:r/>
    </w:p>
    <w:p>
      <w:pPr>
        <w:ind w:firstLine="480"/>
        <w:jc w:val="left"/>
        <w:keepLines w:val="0"/>
        <w:keepNext w:val="0"/>
        <w:pageBreakBefore w:val="0"/>
        <w:spacing w:line="440" w:lineRule="exact"/>
        <w:widowControl/>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bCs/>
          <w:color w:val="000000" w:themeColor="text1"/>
          <w:highlight w:val="none"/>
          <w:lang w:val="en-US" w:eastAsia="zh-CN"/>
          <w14:textFill>
            <w14:solidFill>
              <w14:schemeClr w14:val="tx1"/>
            </w14:solidFill>
          </w14:textFill>
        </w:rPr>
        <w:t xml:space="preserve">32.1.</w:t>
      </w: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3同一投标人提交两个（含两个）以上不同的投标报价的</w:t>
      </w:r>
      <w:r>
        <w:rPr>
          <w:rFonts w:hint="eastAsia" w:ascii="宋体" w:hAnsi="宋体" w:eastAsia="宋体" w:cs="宋体"/>
          <w:bCs/>
          <w:color w:val="000000" w:themeColor="text1"/>
          <w:highlight w:val="none"/>
          <w:lang w:val="en-US" w:eastAsia="zh-CN"/>
          <w14:textFill>
            <w14:solidFill>
              <w14:schemeClr w14:val="tx1"/>
            </w14:solidFill>
          </w14:textFill>
        </w:rPr>
        <w:t xml:space="preserve">；</w:t>
      </w:r>
      <w:r/>
    </w:p>
    <w:p>
      <w:pPr>
        <w:ind w:firstLine="480"/>
        <w:jc w:val="left"/>
        <w:keepLines w:val="0"/>
        <w:keepNext w:val="0"/>
        <w:pageBreakBefore w:val="0"/>
        <w:spacing w:line="440" w:lineRule="exact"/>
        <w:widowControl/>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32.1.4投标人不具备招标文件中规定资格要求的</w:t>
      </w:r>
      <w:r>
        <w:rPr>
          <w:rFonts w:hint="eastAsia" w:ascii="宋体" w:hAnsi="宋体" w:eastAsia="宋体" w:cs="宋体"/>
          <w:bCs/>
          <w:color w:val="000000" w:themeColor="text1"/>
          <w:highlight w:val="none"/>
          <w:lang w:val="en-US" w:eastAsia="zh-CN"/>
          <w14:textFill>
            <w14:solidFill>
              <w14:schemeClr w14:val="tx1"/>
            </w14:solidFill>
          </w14:textFill>
        </w:rPr>
        <w:t xml:space="preserve">；</w:t>
      </w:r>
      <w:r/>
    </w:p>
    <w:p>
      <w:pPr>
        <w:ind w:firstLine="480"/>
        <w:jc w:val="left"/>
        <w:spacing w:line="440" w:lineRule="exact"/>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32.1.5投标人的报价超过了采购预算或最高限价的</w:t>
      </w:r>
      <w:r>
        <w:rPr>
          <w:rFonts w:hint="eastAsia" w:ascii="宋体" w:hAnsi="宋体" w:eastAsia="宋体" w:cs="宋体"/>
          <w:bCs/>
          <w:color w:val="000000" w:themeColor="text1"/>
          <w:highlight w:val="none"/>
          <w:lang w:val="en-US" w:eastAsia="zh-CN"/>
          <w14:textFill>
            <w14:solidFill>
              <w14:schemeClr w14:val="tx1"/>
            </w14:solidFill>
          </w14:textFill>
        </w:rPr>
        <w:t xml:space="preserve">；</w:t>
      </w:r>
      <w:r/>
    </w:p>
    <w:p>
      <w:pPr>
        <w:ind w:firstLine="480"/>
        <w:jc w:val="left"/>
        <w:spacing w:line="440" w:lineRule="exact"/>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32.1.6未通过符合性审查的</w:t>
      </w:r>
      <w:r>
        <w:rPr>
          <w:rFonts w:hint="eastAsia" w:ascii="宋体" w:hAnsi="宋体" w:eastAsia="宋体" w:cs="宋体"/>
          <w:bCs/>
          <w:color w:val="000000" w:themeColor="text1"/>
          <w:highlight w:val="none"/>
          <w:lang w:val="en-US" w:eastAsia="zh-CN"/>
          <w14:textFill>
            <w14:solidFill>
              <w14:schemeClr w14:val="tx1"/>
            </w14:solidFill>
          </w14:textFill>
        </w:rPr>
        <w:t xml:space="preserve">；</w:t>
      </w:r>
      <w:r/>
    </w:p>
    <w:p>
      <w:pPr>
        <w:ind w:firstLine="360"/>
        <w:jc w:val="left"/>
        <w:spacing w:line="440" w:lineRule="exact"/>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 32.1.7不符合招标文件中规定的实质性要求和条件的（本招标文件中斜体且有下划线部分为实质性要求和条件）</w:t>
      </w:r>
      <w:r>
        <w:rPr>
          <w:rFonts w:hint="eastAsia" w:ascii="宋体" w:hAnsi="宋体" w:eastAsia="宋体" w:cs="宋体"/>
          <w:bCs/>
          <w:color w:val="000000" w:themeColor="text1"/>
          <w:highlight w:val="none"/>
          <w:lang w:val="en-US" w:eastAsia="zh-CN"/>
          <w14:textFill>
            <w14:solidFill>
              <w14:schemeClr w14:val="tx1"/>
            </w14:solidFill>
          </w14:textFill>
        </w:rPr>
        <w:t xml:space="preserve">；</w:t>
      </w:r>
      <w:r/>
    </w:p>
    <w:p>
      <w:pPr>
        <w:ind w:firstLine="480"/>
        <w:jc w:val="left"/>
        <w:spacing w:line="440" w:lineRule="exact"/>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32.1.8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Cs/>
          <w:color w:val="000000" w:themeColor="text1"/>
          <w:highlight w:val="none"/>
          <w:lang w:val="en-US" w:eastAsia="zh-CN"/>
          <w14:textFill>
            <w14:solidFill>
              <w14:schemeClr w14:val="tx1"/>
            </w14:solidFill>
          </w14:textFill>
        </w:rPr>
        <w:t xml:space="preserve">；</w:t>
      </w:r>
      <w:r/>
    </w:p>
    <w:p>
      <w:pPr>
        <w:ind w:firstLine="480"/>
        <w:jc w:val="left"/>
        <w:spacing w:line="440" w:lineRule="exact"/>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32.1.9 投标文件含有采购人不能接受的附加条件的</w:t>
      </w:r>
      <w:r>
        <w:rPr>
          <w:rFonts w:hint="eastAsia" w:ascii="宋体" w:hAnsi="宋体" w:eastAsia="宋体" w:cs="宋体"/>
          <w:bCs/>
          <w:color w:val="000000" w:themeColor="text1"/>
          <w:highlight w:val="none"/>
          <w:lang w:val="en-US" w:eastAsia="zh-CN"/>
          <w14:textFill>
            <w14:solidFill>
              <w14:schemeClr w14:val="tx1"/>
            </w14:solidFill>
          </w14:textFill>
        </w:rPr>
        <w:t xml:space="preserve">；</w:t>
      </w:r>
      <w:r/>
    </w:p>
    <w:p>
      <w:pPr>
        <w:ind w:firstLine="480"/>
        <w:jc w:val="left"/>
        <w:spacing w:line="440" w:lineRule="exact"/>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32.1.10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eastAsia="宋体" w:cs="宋体"/>
          <w:bCs/>
          <w:color w:val="000000" w:themeColor="text1"/>
          <w:highlight w:val="none"/>
          <w:lang w:val="en-US" w:eastAsia="zh-CN"/>
          <w14:textFill>
            <w14:solidFill>
              <w14:schemeClr w14:val="tx1"/>
            </w14:solidFill>
          </w14:textFill>
        </w:rPr>
        <w:t xml:space="preserve">；</w:t>
      </w:r>
      <w:r/>
    </w:p>
    <w:p>
      <w:pPr>
        <w:ind w:firstLine="480"/>
        <w:jc w:val="left"/>
        <w:spacing w:line="440" w:lineRule="exact"/>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32.1.11 投标文件未按照招标文件要求加盖CA电子公章的</w:t>
      </w:r>
      <w:r>
        <w:rPr>
          <w:rFonts w:hint="eastAsia" w:ascii="宋体" w:hAnsi="宋体" w:eastAsia="宋体" w:cs="宋体"/>
          <w:bCs/>
          <w:color w:val="000000" w:themeColor="text1"/>
          <w:highlight w:val="none"/>
          <w:lang w:val="en-US" w:eastAsia="zh-CN"/>
          <w14:textFill>
            <w14:solidFill>
              <w14:schemeClr w14:val="tx1"/>
            </w14:solidFill>
          </w14:textFill>
        </w:rPr>
        <w:t xml:space="preserve">；</w:t>
      </w:r>
      <w:r/>
    </w:p>
    <w:p>
      <w:pPr>
        <w:ind w:firstLine="480"/>
        <w:jc w:val="left"/>
        <w:spacing w:line="440" w:lineRule="exact"/>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32.1.12其他法律、法规及本招标文件规定的属无效投标的情形。</w:t>
      </w:r>
      <w:r/>
    </w:p>
    <w:p>
      <w:pPr>
        <w:ind w:firstLine="480"/>
        <w:jc w:val="left"/>
        <w:spacing w:line="440" w:lineRule="exact"/>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32.2废标条款</w:t>
      </w:r>
      <w:r/>
    </w:p>
    <w:p>
      <w:pPr>
        <w:ind w:left="520" w:hanging="40"/>
        <w:jc w:val="left"/>
        <w:spacing w:line="440" w:lineRule="exact"/>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32.2.1符合专业条件的供应商或者对招标文件作实质响应的供应商不足三家</w:t>
      </w:r>
      <w:r>
        <w:rPr>
          <w:rFonts w:hint="eastAsia" w:ascii="宋体" w:hAnsi="宋体" w:eastAsia="宋体" w:cs="宋体"/>
          <w:bCs/>
          <w:color w:val="000000" w:themeColor="text1"/>
          <w:highlight w:val="none"/>
          <w:lang w:val="en-US"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32.2.2出现影响采购公正的违法、违规行为的</w:t>
      </w:r>
      <w:r>
        <w:rPr>
          <w:rFonts w:hint="eastAsia" w:ascii="宋体" w:hAnsi="宋体" w:eastAsia="宋体" w:cs="宋体"/>
          <w:bCs/>
          <w:color w:val="000000" w:themeColor="text1"/>
          <w:highlight w:val="none"/>
          <w:lang w:val="en-US" w:eastAsia="zh-CN"/>
          <w14:textFill>
            <w14:solidFill>
              <w14:schemeClr w14:val="tx1"/>
            </w14:solidFill>
          </w14:textFill>
        </w:rPr>
        <w:t xml:space="preserve">；</w:t>
      </w:r>
      <w:r/>
    </w:p>
    <w:p>
      <w:pPr>
        <w:ind w:firstLine="439"/>
        <w:jc w:val="left"/>
        <w:spacing w:line="440" w:lineRule="exact"/>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32.2.3因重大变故，采购任务取消的</w:t>
      </w:r>
      <w:r>
        <w:rPr>
          <w:rFonts w:hint="eastAsia" w:ascii="宋体" w:hAnsi="宋体" w:eastAsia="宋体" w:cs="宋体"/>
          <w:bCs/>
          <w:color w:val="000000" w:themeColor="text1"/>
          <w:highlight w:val="none"/>
          <w:lang w:val="en-US" w:eastAsia="zh-CN"/>
          <w14:textFill>
            <w14:solidFill>
              <w14:schemeClr w14:val="tx1"/>
            </w14:solidFill>
          </w14:textFill>
        </w:rPr>
        <w:t xml:space="preserve">；</w:t>
      </w:r>
      <w:r/>
    </w:p>
    <w:p>
      <w:pPr>
        <w:ind w:left="520" w:hanging="40"/>
        <w:jc w:val="left"/>
        <w:spacing w:line="440" w:lineRule="exact"/>
        <w:rPr>
          <w:rFonts w:hint="default"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32.2.4评标委员会认定招标文件存在歧义、重大缺陷导致评审工作无法进的；</w:t>
      </w:r>
      <w:r/>
    </w:p>
    <w:p>
      <w:pPr>
        <w:ind w:left="520" w:hanging="40"/>
        <w:jc w:val="left"/>
        <w:spacing w:line="440" w:lineRule="exact"/>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32.2.5 因苏采云系统系统故障原因造成开标不成功的。</w:t>
      </w:r>
      <w:r/>
    </w:p>
    <w:p>
      <w:pPr>
        <w:ind w:firstLine="439"/>
        <w:jc w:val="left"/>
        <w:spacing w:line="440" w:lineRule="exact"/>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32.3 投标截止时间结束后参加投标的供应商不足三家的处理：</w:t>
      </w:r>
      <w:r/>
    </w:p>
    <w:p>
      <w:pPr>
        <w:ind w:firstLine="480"/>
        <w:jc w:val="left"/>
        <w:spacing w:line="440" w:lineRule="exact"/>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32.3.1如出现投标截止时间结束后参加投标的供应商或者在评标期间对招标文件做出实质响应的供应商不足三家情况，按政府采购相关规定执行。</w:t>
      </w:r>
      <w:r/>
    </w:p>
    <w:p>
      <w:pPr>
        <w:ind w:firstLine="562"/>
        <w:jc w:val="center"/>
        <w:keepLines w:val="0"/>
        <w:keepNext w:val="0"/>
        <w:pageBreakBefore w:val="0"/>
        <w:spacing w:line="440" w:lineRule="exact"/>
        <w:rPr>
          <w:rFonts w:hint="eastAsia" w:ascii="宋体" w:hAnsi="宋体" w:eastAsia="宋体" w:cs="宋体"/>
          <w:b/>
          <w:color w:val="000000" w:themeColor="text1"/>
          <w:sz w:val="28"/>
          <w:szCs w:val="28"/>
          <w:highlight w:val="none"/>
          <w14:textFill>
            <w14:solidFill>
              <w14:schemeClr w14:val="tx1"/>
            </w14:solidFill>
          </w14:textFill>
        </w:rPr>
        <w:outlineLvl w:val="9"/>
      </w:pPr>
      <w:r>
        <w:rPr>
          <w:rFonts w:hint="eastAsia" w:ascii="宋体" w:hAnsi="宋体" w:eastAsia="宋体" w:cs="宋体"/>
          <w:b/>
          <w:color w:val="000000" w:themeColor="text1"/>
          <w:sz w:val="28"/>
          <w:szCs w:val="28"/>
          <w:highlight w:val="none"/>
          <w14:textFill>
            <w14:solidFill>
              <w14:schemeClr w14:val="tx1"/>
            </w14:solidFill>
          </w14:textFill>
        </w:rPr>
      </w:r>
      <w:r/>
    </w:p>
    <w:p>
      <w:pPr>
        <w:jc w:val="center"/>
        <w:keepLines w:val="0"/>
        <w:keepNext w:val="0"/>
        <w:pageBreakBefore w:val="0"/>
        <w:spacing w:line="440" w:lineRule="exact"/>
        <w:rPr>
          <w:rFonts w:hint="eastAsia" w:ascii="宋体" w:hAnsi="宋体" w:eastAsia="宋体" w:cs="宋体"/>
          <w:b/>
          <w:color w:val="000000" w:themeColor="text1"/>
          <w:highlight w:val="none"/>
          <w14:textFill>
            <w14:solidFill>
              <w14:schemeClr w14:val="tx1"/>
            </w14:solidFill>
          </w14:textFill>
        </w:rPr>
        <w:outlineLvl w:val="9"/>
      </w:pPr>
      <w:r>
        <w:rPr>
          <w:rFonts w:hint="eastAsia" w:ascii="宋体" w:hAnsi="宋体" w:eastAsia="宋体" w:cs="宋体"/>
          <w:b/>
          <w:color w:val="000000" w:themeColor="text1"/>
          <w:sz w:val="28"/>
          <w:szCs w:val="28"/>
          <w:highlight w:val="none"/>
          <w14:textFill>
            <w14:solidFill>
              <w14:schemeClr w14:val="tx1"/>
            </w14:solidFill>
          </w14:textFill>
        </w:rPr>
        <w:t xml:space="preserve">六、定标</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33.</w:t>
      </w:r>
      <w:r>
        <w:rPr>
          <w:rFonts w:hint="eastAsia" w:ascii="宋体" w:hAnsi="宋体" w:eastAsia="宋体" w:cs="宋体"/>
          <w:color w:val="000000" w:themeColor="text1"/>
          <w:sz w:val="24"/>
          <w:highlight w:val="none"/>
          <w14:textFill>
            <w14:solidFill>
              <w14:schemeClr w14:val="tx1"/>
            </w14:solidFill>
          </w14:textFill>
        </w:rPr>
        <w:t xml:space="preserve">确定中标人</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33.</w:t>
      </w:r>
      <w:r>
        <w:rPr>
          <w:rFonts w:hint="eastAsia" w:ascii="宋体" w:hAnsi="宋体" w:eastAsia="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 采购代理机构应当在评标结束后2个工作日内将评标报告送采购人。</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3</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 采购人应当自收到评标报告之日起5个工作日内，在评标报告确定的中标候选人名单中按顺序确定中标人。</w:t>
      </w:r>
      <w:r>
        <w:rPr>
          <w:rFonts w:hint="eastAsia" w:ascii="宋体" w:hAnsi="宋体" w:eastAsia="宋体" w:cs="宋体"/>
          <w:color w:val="000000" w:themeColor="text1"/>
          <w:sz w:val="24"/>
          <w:highlight w:val="none"/>
          <w14:textFill>
            <w14:solidFill>
              <w14:schemeClr w14:val="tx1"/>
            </w14:solidFill>
          </w14:textFill>
        </w:rPr>
        <w:t xml:space="preserve">中标候选人并列的，由采购人或者采购人委托评标委员会按照招标文件规定的方式确定中标人；招标文件未规定的，采取随机抽取的方式确定。中标候选人并列的，招标文件规定的确定中标人方式：见招标文件第三章《投</w:t>
      </w:r>
      <w:r>
        <w:rPr>
          <w:rFonts w:hint="eastAsia" w:ascii="宋体" w:hAnsi="宋体" w:eastAsia="宋体" w:cs="宋体"/>
          <w:color w:val="000000" w:themeColor="text1"/>
          <w:highlight w:val="none"/>
          <w14:textFill>
            <w14:solidFill>
              <w14:schemeClr w14:val="tx1"/>
            </w14:solidFill>
          </w14:textFill>
        </w:rPr>
        <w:t xml:space="preserve">标资料表》。</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3</w:t>
      </w:r>
      <w:r>
        <w:rPr>
          <w:rFonts w:hint="eastAsia" w:ascii="宋体" w:hAnsi="宋体" w:eastAsia="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lang w:val="en-US" w:eastAsia="zh-CN"/>
          <w14:textFill>
            <w14:solidFill>
              <w14:schemeClr w14:val="tx1"/>
            </w14:solidFill>
          </w14:textFill>
        </w:rPr>
        <w:t xml:space="preserve">35.</w:t>
      </w:r>
      <w:r>
        <w:rPr>
          <w:rFonts w:hint="eastAsia" w:ascii="宋体" w:hAnsi="宋体" w:eastAsia="宋体" w:cs="宋体"/>
          <w:color w:val="000000" w:themeColor="text1"/>
          <w:highlight w:val="none"/>
          <w14:textFill>
            <w14:solidFill>
              <w14:schemeClr w14:val="tx1"/>
            </w14:solidFill>
          </w14:textFill>
        </w:rPr>
        <w:t xml:space="preserve">中标通知书发出后，采购人不得违法改变中标结果，中标人无正当理由不得放弃中标。</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3</w:t>
      </w:r>
      <w:r>
        <w:rPr>
          <w:rFonts w:hint="eastAsia" w:ascii="宋体" w:hAnsi="宋体" w:eastAsia="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2"/>
        <w:jc w:val="center"/>
        <w:keepLines w:val="0"/>
        <w:keepNext w:val="0"/>
        <w:pageBreakBefore w:val="0"/>
        <w:spacing w:line="440" w:lineRule="exact"/>
        <w:rPr>
          <w:rFonts w:hint="eastAsia" w:ascii="宋体" w:hAnsi="宋体" w:eastAsia="宋体" w:cs="宋体"/>
          <w:b/>
          <w:color w:val="000000" w:themeColor="text1"/>
          <w:highlight w:val="none"/>
          <w14:textFill>
            <w14:solidFill>
              <w14:schemeClr w14:val="tx1"/>
            </w14:solidFill>
          </w14:textFill>
        </w:rPr>
        <w:outlineLvl w:val="9"/>
      </w:pPr>
      <w:r>
        <w:rPr>
          <w:rFonts w:hint="eastAsia" w:ascii="宋体" w:hAnsi="宋体" w:eastAsia="宋体" w:cs="宋体"/>
          <w:b/>
          <w:color w:val="000000" w:themeColor="text1"/>
          <w:sz w:val="28"/>
          <w:szCs w:val="28"/>
          <w:highlight w:val="none"/>
          <w14:textFill>
            <w14:solidFill>
              <w14:schemeClr w14:val="tx1"/>
            </w14:solidFill>
          </w14:textFill>
        </w:rPr>
        <w:t xml:space="preserve">七、政府采购合同</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3</w:t>
      </w:r>
      <w:r>
        <w:rPr>
          <w:rFonts w:hint="eastAsia" w:ascii="宋体" w:hAnsi="宋体" w:eastAsia="宋体" w:cs="宋体"/>
          <w:color w:val="000000" w:themeColor="text1"/>
          <w:highlight w:val="none"/>
          <w:lang w:val="en-US" w:eastAsia="zh-CN"/>
          <w14:textFill>
            <w14:solidFill>
              <w14:schemeClr w14:val="tx1"/>
            </w14:solidFill>
          </w14:textFill>
        </w:rPr>
        <w:t xml:space="preserve">7</w:t>
      </w:r>
      <w:r>
        <w:rPr>
          <w:rFonts w:hint="eastAsia" w:ascii="宋体" w:hAnsi="宋体" w:eastAsia="宋体" w:cs="宋体"/>
          <w:color w:val="000000" w:themeColor="text1"/>
          <w:highlight w:val="none"/>
          <w14:textFill>
            <w14:solidFill>
              <w14:schemeClr w14:val="tx1"/>
            </w14:solidFill>
          </w14:textFill>
        </w:rPr>
        <w:t xml:space="preserve">. 签订政府采购合同（合同签订方式）</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3</w:t>
      </w:r>
      <w:r>
        <w:rPr>
          <w:rFonts w:hint="eastAsia" w:ascii="宋体" w:hAnsi="宋体" w:eastAsia="宋体" w:cs="宋体"/>
          <w:color w:val="000000" w:themeColor="text1"/>
          <w:highlight w:val="none"/>
          <w:lang w:val="en-US" w:eastAsia="zh-CN"/>
          <w14:textFill>
            <w14:solidFill>
              <w14:schemeClr w14:val="tx1"/>
            </w14:solidFill>
          </w14:textFill>
        </w:rPr>
        <w:t xml:space="preserve">7</w:t>
      </w: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采购人</w:t>
      </w:r>
      <w:r>
        <w:rPr>
          <w:rFonts w:hint="eastAsia" w:ascii="宋体" w:hAnsi="宋体" w:eastAsia="宋体" w:cs="宋体"/>
          <w:color w:val="000000" w:themeColor="text1"/>
          <w:highlight w:val="none"/>
          <w14:textFill>
            <w14:solidFill>
              <w14:schemeClr w14:val="tx1"/>
            </w14:solidFill>
          </w14:textFill>
        </w:rPr>
        <w:t xml:space="preserve">应当自中标通知书发出之日起</w:t>
      </w:r>
      <w:r>
        <w:rPr>
          <w:rFonts w:hint="eastAsia" w:ascii="宋体" w:hAnsi="宋体" w:eastAsia="宋体" w:cs="宋体"/>
          <w:color w:val="000000" w:themeColor="text1"/>
          <w:highlight w:val="none"/>
          <w:lang w:val="en-US" w:eastAsia="zh-CN"/>
          <w14:textFill>
            <w14:solidFill>
              <w14:schemeClr w14:val="tx1"/>
            </w14:solidFill>
          </w14:textFill>
        </w:rPr>
        <w:t xml:space="preserve">30</w:t>
      </w:r>
      <w:r>
        <w:rPr>
          <w:rFonts w:hint="eastAsia" w:ascii="宋体" w:hAnsi="宋体" w:eastAsia="宋体" w:cs="宋体"/>
          <w:color w:val="000000" w:themeColor="text1"/>
          <w:highlight w:val="none"/>
          <w14:textFill>
            <w14:solidFill>
              <w14:schemeClr w14:val="tx1"/>
            </w14:solidFill>
          </w14:textFill>
        </w:rPr>
        <w:t xml:space="preserve">日内，按照招标文件和中标人投标文件的规定，与中标人签订书面合同。所签订的合同不得对招标文件确定的事项和中标人投标文件作实质性修改。</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lang w:eastAsia="zh-CN"/>
          <w14:textFill>
            <w14:solidFill>
              <w14:schemeClr w14:val="tx1"/>
            </w14:solidFill>
          </w14:textFill>
        </w:rPr>
        <w:t xml:space="preserve">采购人</w:t>
      </w:r>
      <w:r>
        <w:rPr>
          <w:rFonts w:hint="eastAsia" w:ascii="宋体" w:hAnsi="宋体" w:eastAsia="宋体" w:cs="宋体"/>
          <w:color w:val="000000" w:themeColor="text1"/>
          <w:highlight w:val="none"/>
          <w14:textFill>
            <w14:solidFill>
              <w14:schemeClr w14:val="tx1"/>
            </w14:solidFill>
          </w14:textFill>
        </w:rPr>
        <w:t xml:space="preserve">不得向中标人提出任何不合理的要求作为签订合同的条件。</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3</w:t>
      </w:r>
      <w:r>
        <w:rPr>
          <w:rFonts w:hint="eastAsia" w:ascii="宋体" w:hAnsi="宋体" w:eastAsia="宋体" w:cs="宋体"/>
          <w:color w:val="000000" w:themeColor="text1"/>
          <w:highlight w:val="none"/>
          <w:lang w:val="en-US" w:eastAsia="zh-CN"/>
          <w14:textFill>
            <w14:solidFill>
              <w14:schemeClr w14:val="tx1"/>
            </w14:solidFill>
          </w14:textFill>
        </w:rPr>
        <w:t xml:space="preserve">7</w:t>
      </w:r>
      <w:r>
        <w:rPr>
          <w:rFonts w:hint="eastAsia" w:ascii="宋体" w:hAnsi="宋体" w:eastAsia="宋体" w:cs="宋体"/>
          <w:color w:val="000000" w:themeColor="text1"/>
          <w:highlight w:val="none"/>
          <w14:textFill>
            <w14:solidFill>
              <w14:schemeClr w14:val="tx1"/>
            </w14:solidFill>
          </w14:textFill>
        </w:rPr>
        <w:t xml:space="preserve">.2中标或者成交供应商拒绝与</w:t>
      </w:r>
      <w:r>
        <w:rPr>
          <w:rFonts w:hint="eastAsia" w:ascii="宋体" w:hAnsi="宋体" w:eastAsia="宋体" w:cs="宋体"/>
          <w:color w:val="000000" w:themeColor="text1"/>
          <w:highlight w:val="none"/>
          <w:lang w:eastAsia="zh-CN"/>
          <w14:textFill>
            <w14:solidFill>
              <w14:schemeClr w14:val="tx1"/>
            </w14:solidFill>
          </w14:textFill>
        </w:rPr>
        <w:t xml:space="preserve">采购人</w:t>
      </w:r>
      <w:r>
        <w:rPr>
          <w:rFonts w:hint="eastAsia" w:ascii="宋体" w:hAnsi="宋体" w:eastAsia="宋体" w:cs="宋体"/>
          <w:color w:val="000000" w:themeColor="text1"/>
          <w:highlight w:val="none"/>
          <w14:textFill>
            <w14:solidFill>
              <w14:schemeClr w14:val="tx1"/>
            </w14:solidFill>
          </w14:textFill>
        </w:rPr>
        <w:t xml:space="preserve">签订合同的，</w:t>
      </w:r>
      <w:r>
        <w:rPr>
          <w:rFonts w:hint="eastAsia" w:ascii="宋体" w:hAnsi="宋体" w:eastAsia="宋体" w:cs="宋体"/>
          <w:color w:val="000000" w:themeColor="text1"/>
          <w:highlight w:val="none"/>
          <w:lang w:eastAsia="zh-CN"/>
          <w14:textFill>
            <w14:solidFill>
              <w14:schemeClr w14:val="tx1"/>
            </w14:solidFill>
          </w14:textFill>
        </w:rPr>
        <w:t xml:space="preserve">采购人</w:t>
      </w:r>
      <w:r>
        <w:rPr>
          <w:rFonts w:hint="eastAsia" w:ascii="宋体" w:hAnsi="宋体" w:eastAsia="宋体" w:cs="宋体"/>
          <w:color w:val="000000" w:themeColor="text1"/>
          <w:highlight w:val="none"/>
          <w14:textFill>
            <w14:solidFill>
              <w14:schemeClr w14:val="tx1"/>
            </w14:solidFill>
          </w14:textFill>
        </w:rPr>
        <w:t xml:space="preserve">可以按照评审报告推荐的中标或者成交候选人名单排序，确定下一候选人为中标或者成交供应商，也可以重新开展政府采购活动。</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3</w:t>
      </w:r>
      <w:r>
        <w:rPr>
          <w:rFonts w:hint="eastAsia" w:ascii="宋体" w:hAnsi="宋体" w:eastAsia="宋体" w:cs="宋体"/>
          <w:color w:val="000000" w:themeColor="text1"/>
          <w:highlight w:val="none"/>
          <w:lang w:val="en-US" w:eastAsia="zh-CN"/>
          <w14:textFill>
            <w14:solidFill>
              <w14:schemeClr w14:val="tx1"/>
            </w14:solidFill>
          </w14:textFill>
        </w:rPr>
        <w:t xml:space="preserve">8</w:t>
      </w: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采购人</w:t>
      </w:r>
      <w:r>
        <w:rPr>
          <w:rFonts w:hint="eastAsia" w:ascii="宋体" w:hAnsi="宋体" w:eastAsia="宋体" w:cs="宋体"/>
          <w:color w:val="000000" w:themeColor="text1"/>
          <w:highlight w:val="none"/>
          <w14:textFill>
            <w14:solidFill>
              <w14:schemeClr w14:val="tx1"/>
            </w14:solidFill>
          </w14:textFill>
        </w:rPr>
        <w:t xml:space="preserve">与中标人应当根据合同的约定依法履行合同义务。</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政府采购合同的履行、违约责任和解决争议的方法等适用《中华人民共和国合同法》。</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lang w:val="en-US" w:eastAsia="zh-CN"/>
          <w14:textFill>
            <w14:solidFill>
              <w14:schemeClr w14:val="tx1"/>
            </w14:solidFill>
          </w14:textFill>
        </w:rPr>
        <w:t xml:space="preserve">39.</w:t>
      </w:r>
      <w:r>
        <w:rPr>
          <w:rFonts w:hint="eastAsia" w:ascii="宋体" w:hAnsi="宋体" w:eastAsia="宋体" w:cs="宋体"/>
          <w:color w:val="000000" w:themeColor="text1"/>
          <w:highlight w:val="none"/>
          <w14:textFill>
            <w14:solidFill>
              <w14:schemeClr w14:val="tx1"/>
            </w14:solidFill>
          </w14:textFill>
        </w:rPr>
        <w:t xml:space="preserve">履约保证金：</w:t>
      </w:r>
      <w:r/>
    </w:p>
    <w:p>
      <w:pPr>
        <w:ind w:firstLine="480"/>
        <w:spacing w:line="479" w:lineRule="atLeast"/>
        <w:rPr>
          <w:rFonts w:hint="eastAsia"/>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39.1 履约保证金的数额不得超过政府采购合同金额的10%。中标人应当以支票、汇票、本票或者金融机构、担保机构出具的</w:t>
      </w:r>
      <w:r>
        <w:rPr>
          <w:rFonts w:hint="eastAsia" w:ascii="宋体" w:hAnsi="宋体" w:eastAsia="宋体" w:cs="宋体"/>
          <w:color w:val="000000" w:themeColor="text1"/>
          <w:highlight w:val="none"/>
          <w:lang w:val="en-US" w:eastAsia="zh-CN"/>
          <w14:textFill>
            <w14:solidFill>
              <w14:schemeClr w14:val="tx1"/>
            </w14:solidFill>
          </w14:textFill>
        </w:rPr>
        <w:t xml:space="preserve">保函</w:t>
      </w:r>
      <w:r>
        <w:rPr>
          <w:rFonts w:hint="eastAsia" w:ascii="宋体" w:hAnsi="宋体" w:eastAsia="宋体" w:cs="宋体"/>
          <w:color w:val="000000" w:themeColor="text1"/>
          <w:highlight w:val="none"/>
          <w14:textFill>
            <w14:solidFill>
              <w14:schemeClr w14:val="tx1"/>
            </w14:solidFill>
          </w14:textFill>
        </w:rPr>
        <w:t xml:space="preserve">等非现金形式提交。</w:t>
      </w:r>
      <w:r/>
    </w:p>
    <w:p>
      <w:pPr>
        <w:ind w:firstLine="480"/>
        <w:jc w:val="left"/>
        <w:spacing w:line="40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39.2</w:t>
      </w:r>
      <w:r>
        <w:rPr>
          <w:rFonts w:hint="eastAsia" w:ascii="宋体" w:hAnsi="宋体" w:eastAsia="宋体" w:cs="宋体"/>
          <w:color w:val="000000" w:themeColor="text1"/>
          <w:highlight w:val="none"/>
          <w14:textFill>
            <w14:solidFill>
              <w14:schemeClr w14:val="tx1"/>
            </w14:solidFill>
          </w14:textFill>
        </w:rPr>
        <w:t xml:space="preserve">中标人应在政府采购合同签订前，向采购人提交履约保证金。</w:t>
      </w:r>
      <w:r/>
    </w:p>
    <w:p>
      <w:pPr>
        <w:ind w:firstLine="480"/>
        <w:jc w:val="left"/>
        <w:spacing w:line="40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39.</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 签定合同后，如中标人不按双方合同约定履约，采购人将按照合同约定扣除其全部或部分履约保证金。如中标人违约给采购人造成的损失超过履约保证金的，应当依法赔偿超过部分的损失。</w:t>
      </w:r>
      <w:r/>
    </w:p>
    <w:p>
      <w:pPr>
        <w:ind w:firstLine="480"/>
        <w:jc w:val="left"/>
        <w:spacing w:line="400" w:lineRule="exact"/>
        <w:widowControl/>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39.4</w:t>
      </w:r>
      <w:r>
        <w:rPr>
          <w:rFonts w:hint="eastAsia" w:ascii="宋体" w:hAnsi="宋体" w:eastAsia="宋体" w:cs="宋体"/>
          <w:color w:val="000000" w:themeColor="text1"/>
          <w:highlight w:val="none"/>
          <w14:textFill>
            <w14:solidFill>
              <w14:schemeClr w14:val="tx1"/>
            </w14:solidFill>
          </w14:textFill>
        </w:rPr>
        <w:t xml:space="preserve">履约保证金自合同生效之日起至合同约定的中标人主要义务履行完毕止，采购人应当按合同约定及时退还履约保证金</w:t>
      </w:r>
      <w:r>
        <w:rPr>
          <w:rFonts w:hint="eastAsia" w:cs="Arial" w:asciiTheme="minorEastAsia" w:hAnsiTheme="minorEastAsia" w:eastAsiaTheme="minorEastAsia"/>
          <w:color w:val="000000" w:themeColor="text1"/>
          <w:sz w:val="24"/>
          <w:szCs w:val="24"/>
          <w:highlight w:val="none"/>
          <w14:textFill>
            <w14:solidFill>
              <w14:schemeClr w14:val="tx1"/>
            </w14:solidFill>
          </w14:textFill>
        </w:rPr>
        <w:t xml:space="preserve">（无息）</w:t>
      </w:r>
      <w:r>
        <w:rPr>
          <w:rFonts w:hint="eastAsia" w:eastAsia="宋体" w:cs="Arial" w:asciiTheme="minorEastAsia" w:hAnsiTheme="minorEastAsia"/>
          <w:color w:val="000000" w:themeColor="text1"/>
          <w:sz w:val="24"/>
          <w:szCs w:val="24"/>
          <w:highlight w:val="none"/>
          <w:lang w:eastAsia="zh-CN"/>
          <w14:textFill>
            <w14:solidFill>
              <w14:schemeClr w14:val="tx1"/>
            </w14:solidFill>
          </w14:textFill>
        </w:rPr>
        <w:t xml:space="preserve">。</w:t>
      </w:r>
      <w:r/>
    </w:p>
    <w:p>
      <w:pPr>
        <w:ind w:firstLine="480"/>
        <w:jc w:val="left"/>
        <w:spacing w:line="40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w:t>
      </w:r>
      <w:r>
        <w:rPr>
          <w:rFonts w:hint="eastAsia" w:ascii="宋体" w:hAnsi="宋体" w:eastAsia="宋体" w:cs="宋体"/>
          <w:color w:val="000000" w:themeColor="text1"/>
          <w:highlight w:val="none"/>
          <w:lang w:val="en-US" w:eastAsia="zh-CN"/>
          <w14:textFill>
            <w14:solidFill>
              <w14:schemeClr w14:val="tx1"/>
            </w14:solidFill>
          </w14:textFill>
        </w:rPr>
        <w:t xml:space="preserve">9.5</w:t>
      </w:r>
      <w:r>
        <w:rPr>
          <w:rFonts w:hint="eastAsia" w:ascii="宋体" w:hAnsi="宋体" w:eastAsia="宋体" w:cs="宋体"/>
          <w:color w:val="000000" w:themeColor="text1"/>
          <w:highlight w:val="none"/>
          <w14:textFill>
            <w14:solidFill>
              <w14:schemeClr w14:val="tx1"/>
            </w14:solidFill>
          </w14:textFill>
        </w:rPr>
        <w:t xml:space="preserve"> 逾期退还履约保证金的采购人承担违约责任，按照中国人民银行同期贷款基准利率向中标人支付超期资金占用费。</w:t>
      </w:r>
      <w:r/>
    </w:p>
    <w:p>
      <w:pPr>
        <w:ind w:firstLine="480"/>
        <w:jc w:val="left"/>
        <w:spacing w:line="40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39.6</w:t>
      </w:r>
      <w:r>
        <w:rPr>
          <w:rFonts w:hint="eastAsia" w:ascii="宋体" w:hAnsi="宋体" w:eastAsia="宋体" w:cs="宋体"/>
          <w:color w:val="000000" w:themeColor="text1"/>
          <w:highlight w:val="none"/>
          <w14:textFill>
            <w14:solidFill>
              <w14:schemeClr w14:val="tx1"/>
            </w14:solidFill>
          </w14:textFill>
        </w:rPr>
        <w:t xml:space="preserve"> 本项目履约保证金要求详见招标文件第三章《投标资料表》</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lang w:val="en-US" w:eastAsia="zh-CN"/>
          <w14:textFill>
            <w14:solidFill>
              <w14:schemeClr w14:val="tx1"/>
            </w14:solidFill>
          </w14:textFill>
        </w:rPr>
        <w:t xml:space="preserve">40</w:t>
      </w:r>
      <w:r>
        <w:rPr>
          <w:rFonts w:hint="eastAsia" w:ascii="宋体" w:hAnsi="宋体" w:eastAsia="宋体" w:cs="宋体"/>
          <w:color w:val="000000" w:themeColor="text1"/>
          <w:highlight w:val="none"/>
          <w14:textFill>
            <w14:solidFill>
              <w14:schemeClr w14:val="tx1"/>
            </w14:solidFill>
          </w14:textFill>
        </w:rPr>
        <w:t xml:space="preserve">. 腐败和欺诈行为</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lang w:val="en-US" w:eastAsia="zh-CN"/>
          <w14:textFill>
            <w14:solidFill>
              <w14:schemeClr w14:val="tx1"/>
            </w14:solidFill>
          </w14:textFill>
        </w:rPr>
        <w:t xml:space="preserve">40</w:t>
      </w:r>
      <w:r>
        <w:rPr>
          <w:rFonts w:hint="eastAsia" w:ascii="宋体" w:hAnsi="宋体" w:eastAsia="宋体" w:cs="宋体"/>
          <w:color w:val="000000" w:themeColor="text1"/>
          <w:highlight w:val="none"/>
          <w14:textFill>
            <w14:solidFill>
              <w14:schemeClr w14:val="tx1"/>
            </w14:solidFill>
          </w14:textFill>
        </w:rPr>
        <w:t xml:space="preserve">.1 采购代理机构、采购人、投标人等参与招投标的各方，均应在招标、采购、合同执行等过程中保持廉洁和最高的道德水准。</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1、腐败和欺诈行为</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① “腐败行为”系指在招标、采购和合同执行等过程中，为谋求利益，影响相关人员而提供、给予、接受或索取任何有价物，并导致损害</w:t>
      </w:r>
      <w:r>
        <w:rPr>
          <w:rFonts w:hint="eastAsia" w:ascii="宋体" w:hAnsi="宋体" w:eastAsia="宋体" w:cs="宋体"/>
          <w:color w:val="000000" w:themeColor="text1"/>
          <w:highlight w:val="none"/>
          <w:lang w:eastAsia="zh-CN"/>
          <w14:textFill>
            <w14:solidFill>
              <w14:schemeClr w14:val="tx1"/>
            </w14:solidFill>
          </w14:textFill>
        </w:rPr>
        <w:t xml:space="preserve">甲方</w:t>
      </w:r>
      <w:r>
        <w:rPr>
          <w:rFonts w:hint="eastAsia" w:ascii="宋体" w:hAnsi="宋体" w:eastAsia="宋体" w:cs="宋体"/>
          <w:color w:val="000000" w:themeColor="text1"/>
          <w:highlight w:val="none"/>
          <w14:textFill>
            <w14:solidFill>
              <w14:schemeClr w14:val="tx1"/>
            </w14:solidFill>
          </w14:textFill>
        </w:rPr>
        <w:t xml:space="preserve">和/或采购代理机构及他人的行为。</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② “欺诈行为”系指为了影响招标、采购和合同执行等过程而隐瞒事实，从而给</w:t>
      </w:r>
      <w:r>
        <w:rPr>
          <w:rFonts w:hint="eastAsia" w:ascii="宋体" w:hAnsi="宋体" w:eastAsia="宋体" w:cs="宋体"/>
          <w:color w:val="000000" w:themeColor="text1"/>
          <w:highlight w:val="none"/>
          <w:lang w:eastAsia="zh-CN"/>
          <w14:textFill>
            <w14:solidFill>
              <w14:schemeClr w14:val="tx1"/>
            </w14:solidFill>
          </w14:textFill>
        </w:rPr>
        <w:t xml:space="preserve">甲方</w:t>
      </w:r>
      <w:r>
        <w:rPr>
          <w:rFonts w:hint="eastAsia" w:ascii="宋体" w:hAnsi="宋体" w:eastAsia="宋体" w:cs="宋体"/>
          <w:color w:val="000000" w:themeColor="text1"/>
          <w:highlight w:val="none"/>
          <w14:textFill>
            <w14:solidFill>
              <w14:schemeClr w14:val="tx1"/>
            </w14:solidFill>
          </w14:textFill>
        </w:rPr>
        <w:t xml:space="preserve">和/或采购代理机构及他人造成损害的行为，其中包括投标人之间的串通行为。</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2、如果被推荐的中标人有腐败和欺诈行为，将取消其中标。</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3、如果投标人在任何时候，被法院及政府有关管理部门认定为有腐败和欺诈行为，采购代理机构有权拒绝其投标、取消其中标资格、撤消已签署的合同。</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lang w:val="en-US" w:eastAsia="zh-CN"/>
          <w14:textFill>
            <w14:solidFill>
              <w14:schemeClr w14:val="tx1"/>
            </w14:solidFill>
          </w14:textFill>
        </w:rPr>
        <w:t xml:space="preserve">40</w:t>
      </w:r>
      <w:r>
        <w:rPr>
          <w:rFonts w:hint="eastAsia" w:ascii="宋体" w:hAnsi="宋体" w:eastAsia="宋体" w:cs="宋体"/>
          <w:color w:val="000000" w:themeColor="text1"/>
          <w:highlight w:val="none"/>
          <w14:textFill>
            <w14:solidFill>
              <w14:schemeClr w14:val="tx1"/>
            </w14:solidFill>
          </w14:textFill>
        </w:rPr>
        <w:t xml:space="preserve">.2 投标人应注意《合同通用条款》关于腐败和欺诈行为的相关规定。</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lang w:val="en-US" w:eastAsia="zh-CN"/>
          <w14:textFill>
            <w14:solidFill>
              <w14:schemeClr w14:val="tx1"/>
            </w14:solidFill>
          </w14:textFill>
        </w:rPr>
        <w:t xml:space="preserve">41.</w:t>
      </w:r>
      <w:r>
        <w:rPr>
          <w:rFonts w:hint="eastAsia" w:ascii="宋体" w:hAnsi="宋体" w:eastAsia="宋体" w:cs="宋体"/>
          <w:color w:val="000000" w:themeColor="text1"/>
          <w:highlight w:val="none"/>
          <w14:textFill>
            <w14:solidFill>
              <w14:schemeClr w14:val="tx1"/>
            </w14:solidFill>
          </w14:textFill>
        </w:rPr>
        <w:t xml:space="preserve">政府采购履约资金扶持政策</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中标供应商可凭政府采购合同办理融资贷款，详情请见江苏政府采购网“政采贷”专栏。</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bookmarkStart w:id="7" w:name="_Toc23298"/>
      <w:r>
        <w:rPr>
          <w:rFonts w:hint="eastAsia" w:ascii="宋体" w:hAnsi="宋体" w:eastAsia="宋体" w:cs="宋体"/>
          <w:color w:val="000000" w:themeColor="text1"/>
          <w:highlight w:val="none"/>
          <w:lang w:val="en-US" w:eastAsia="zh-CN"/>
          <w14:textFill>
            <w14:solidFill>
              <w14:schemeClr w14:val="tx1"/>
            </w14:solidFill>
          </w14:textFill>
        </w:rPr>
        <w:t xml:space="preserve">42.</w:t>
      </w:r>
      <w:r>
        <w:rPr>
          <w:rFonts w:hint="eastAsia" w:ascii="宋体" w:hAnsi="宋体" w:eastAsia="宋体" w:cs="宋体"/>
          <w:color w:val="000000" w:themeColor="text1"/>
          <w:highlight w:val="none"/>
          <w14:textFill>
            <w14:solidFill>
              <w14:schemeClr w14:val="tx1"/>
            </w14:solidFill>
          </w14:textFill>
        </w:rPr>
        <w:t xml:space="preserve">服务（包含与服务相关的货物）的追加</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r/>
    </w:p>
    <w:p>
      <w:pPr>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left="0" w:firstLine="0"/>
        <w:jc w:val="center"/>
        <w:spacing w:line="40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八、询问和质疑</w:t>
      </w:r>
      <w:r/>
    </w:p>
    <w:p>
      <w:pPr>
        <w:pStyle w:val="1098"/>
        <w:ind w:left="859" w:hanging="379"/>
        <w:spacing w:before="0" w:after="0" w:line="240" w:lineRule="auto"/>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43. </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质疑处理</w:t>
      </w:r>
      <w:r/>
    </w:p>
    <w:p>
      <w:pPr>
        <w:ind w:firstLine="480"/>
        <w:spacing w:line="480" w:lineRule="exact"/>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43.1 提出质疑的供应商应当是参与所质疑项目采购活动的供应商。潜在供应商依法获取其可质疑的采购文件的，可以对采购文件提出质疑。</w:t>
      </w:r>
      <w:r/>
    </w:p>
    <w:p>
      <w:pPr>
        <w:ind w:firstLine="480"/>
        <w:jc w:val="left"/>
        <w:spacing w:line="480" w:lineRule="exact"/>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43.2供应商认为采购文件、采购过程和采购结果使自己的权益受到损害的，可以在知道或应知其权益受到损害之日起七个工作日内，以书面形式向采购人提出质疑。上述应知其权益受到损害之日，是指：</w:t>
      </w:r>
      <w:r/>
    </w:p>
    <w:p>
      <w:pPr>
        <w:ind w:firstLine="480"/>
        <w:jc w:val="left"/>
        <w:spacing w:line="480" w:lineRule="exact"/>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43.2.1对可以质疑的采购文件提出质疑的，为收到采购文件之日或者采购文件公告期限届满之日；</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br/>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　　43.2.2对采购过程提出质疑的，为各采购程序环节结束之日；</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br/>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　　43.2.3对中标或者成交结果提出质疑的，为中标或者成交结果公告期限届满之日。</w:t>
      </w:r>
      <w:r/>
    </w:p>
    <w:p>
      <w:pPr>
        <w:ind w:firstLine="480"/>
        <w:spacing w:line="480" w:lineRule="exact"/>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spacing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采购人质疑接收人及联系方式见</w:t>
      </w:r>
      <w:r>
        <w:rPr>
          <w:rFonts w:hint="eastAsia" w:ascii="宋体" w:hAnsi="宋体" w:eastAsia="宋体" w:cs="宋体"/>
          <w:color w:val="000000" w:themeColor="text1"/>
          <w:highlight w:val="none"/>
          <w14:textFill>
            <w14:solidFill>
              <w14:schemeClr w14:val="tx1"/>
            </w14:solidFill>
          </w14:textFill>
        </w:rPr>
        <w:t xml:space="preserve">招标文件第三章《投标资料表》</w:t>
      </w:r>
      <w:r/>
    </w:p>
    <w:p>
      <w:pPr>
        <w:ind w:firstLine="480"/>
        <w:spacing w:line="480" w:lineRule="exact"/>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43.3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43.4 以下情形的质疑不予受理</w:t>
      </w:r>
      <w:r/>
    </w:p>
    <w:p>
      <w:pPr>
        <w:ind w:firstLine="480"/>
        <w:spacing w:line="480" w:lineRule="exact"/>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43.4.1 内容不符合《政府采购质疑和投诉办法》第十二条规定的质疑。</w:t>
      </w:r>
      <w:r/>
    </w:p>
    <w:p>
      <w:pPr>
        <w:ind w:firstLine="480"/>
        <w:spacing w:line="480" w:lineRule="exact"/>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43.4.2 超出政府采购法定期限的质疑。</w:t>
      </w:r>
      <w:r/>
    </w:p>
    <w:p>
      <w:pPr>
        <w:ind w:firstLine="480"/>
        <w:spacing w:line="480" w:lineRule="exact"/>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43.4.3 以传真、电子邮件等方式递交的非原件形式的质疑。</w:t>
      </w:r>
      <w:r/>
    </w:p>
    <w:p>
      <w:pPr>
        <w:ind w:firstLine="480"/>
        <w:spacing w:line="480" w:lineRule="exact"/>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43.4.4 未参加投标活动的供应商或在投标活动中自身权益未受到损害的供应商所提出的质疑。</w:t>
      </w:r>
      <w:r/>
    </w:p>
    <w:p>
      <w:pPr>
        <w:ind w:firstLine="480"/>
        <w:spacing w:line="480" w:lineRule="exact"/>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43.4.5供应商组成联合体参加投标，联合体中任何一方或多方未按要求签字、盖章、加盖公章的质疑。</w:t>
      </w:r>
      <w:r/>
    </w:p>
    <w:p>
      <w:pPr>
        <w:ind w:firstLine="480"/>
        <w:spacing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43.5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480"/>
        <w:keepLines w:val="0"/>
        <w:keepNext w:val="0"/>
        <w:pageBreakBefore w:val="0"/>
        <w:spacing w:line="440" w:lineRule="exact"/>
        <w:rPr>
          <w:rFonts w:hint="eastAsia" w:ascii="宋体" w:hAnsi="宋体" w:eastAsia="宋体" w:cs="宋体"/>
          <w:b/>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lang w:val="en-US" w:eastAsia="zh-CN"/>
          <w14:textFill>
            <w14:solidFill>
              <w14:schemeClr w14:val="tx1"/>
            </w14:solidFill>
          </w14:textFill>
        </w:rPr>
        <w:t xml:space="preserve">43.6质疑处理</w:t>
      </w:r>
      <w:r>
        <w:rPr>
          <w:rFonts w:hint="eastAsia" w:ascii="宋体" w:hAnsi="宋体" w:eastAsia="宋体" w:cs="宋体"/>
          <w:color w:val="000000" w:themeColor="text1"/>
          <w:highlight w:val="none"/>
          <w14:textFill>
            <w14:solidFill>
              <w14:schemeClr w14:val="tx1"/>
            </w14:solidFill>
          </w14:textFill>
        </w:rPr>
        <w:t xml:space="preserve">以招标文件第三章《投标资料表》中的要求为准。</w:t>
      </w:r>
      <w:r/>
    </w:p>
    <w:p>
      <w:pPr>
        <w:ind w:firstLine="480"/>
        <w:spacing w:line="400" w:lineRule="exact"/>
        <w:rPr>
          <w:rFonts w:hint="default" w:ascii="宋体" w:hAnsi="宋体" w:eastAsia="宋体" w:cs="宋体"/>
          <w:b/>
          <w:color w:val="000000" w:themeColor="text1"/>
          <w:sz w:val="28"/>
          <w:szCs w:val="28"/>
          <w:highlight w:val="none"/>
          <w:lang w:val="en-US" w:eastAsia="zh-CN"/>
          <w14:textFill>
            <w14:solidFill>
              <w14:schemeClr w14:val="tx1"/>
            </w14:solidFill>
          </w14:textFill>
        </w:rPr>
      </w:pPr>
      <w:r>
        <w:rPr>
          <w:rFonts w:hint="default" w:ascii="宋体" w:hAnsi="宋体" w:eastAsia="宋体" w:cs="宋体"/>
          <w:b/>
          <w:color w:val="000000" w:themeColor="text1"/>
          <w:sz w:val="28"/>
          <w:szCs w:val="28"/>
          <w:highlight w:val="none"/>
          <w:lang w:val="en-US" w:eastAsia="zh-CN"/>
          <w14:textFill>
            <w14:solidFill>
              <w14:schemeClr w14:val="tx1"/>
            </w14:solidFill>
          </w14:textFill>
        </w:rPr>
      </w:r>
      <w:r/>
    </w:p>
    <w:p>
      <w:pPr>
        <w:numPr>
          <w:ilvl w:val="0"/>
          <w:numId w:val="0"/>
        </w:numPr>
        <w:jc w:val="center"/>
        <w:spacing w:line="400" w:lineRule="exact"/>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lang w:val="en-US" w:eastAsia="zh-CN" w:bidi="ar-SA"/>
          <w14:textFill>
            <w14:solidFill>
              <w14:schemeClr w14:val="tx1"/>
            </w14:solidFill>
          </w14:textFill>
        </w:rPr>
        <w:t xml:space="preserve">九、</w:t>
      </w:r>
      <w:r>
        <w:rPr>
          <w:rFonts w:hint="eastAsia" w:ascii="宋体" w:hAnsi="宋体" w:eastAsia="宋体" w:cs="宋体"/>
          <w:b/>
          <w:color w:val="000000" w:themeColor="text1"/>
          <w:sz w:val="28"/>
          <w:szCs w:val="28"/>
          <w:highlight w:val="none"/>
          <w14:textFill>
            <w14:solidFill>
              <w14:schemeClr w14:val="tx1"/>
            </w14:solidFill>
          </w14:textFill>
        </w:rPr>
        <w:t xml:space="preserve">电子招标投标交易平台</w:t>
      </w:r>
      <w:r/>
    </w:p>
    <w:p>
      <w:pPr>
        <w:pStyle w:val="112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numPr>
          <w:ilvl w:val="0"/>
          <w:numId w:val="7"/>
        </w:numPr>
        <w:ind w:firstLine="480"/>
        <w:jc w:val="both"/>
        <w:rPr>
          <w:rFonts w:hint="eastAsia" w:ascii="宋体" w:hAnsi="宋体" w:eastAsia="宋体" w:cs="宋体"/>
          <w:color w:val="000000" w:themeColor="text1"/>
          <w:highlight w:val="none"/>
          <w14:textFill>
            <w14:solidFill>
              <w14:schemeClr w14:val="tx1"/>
            </w14:solidFill>
          </w14:textFill>
        </w:rPr>
        <w:outlineLvl w:val="0"/>
      </w:pPr>
      <w:r>
        <w:rPr>
          <w:rFonts w:hint="eastAsia" w:ascii="宋体" w:hAnsi="宋体" w:eastAsia="宋体" w:cs="宋体"/>
          <w:color w:val="000000" w:themeColor="text1"/>
          <w:highlight w:val="none"/>
          <w14:textFill>
            <w14:solidFill>
              <w14:schemeClr w14:val="tx1"/>
            </w14:solidFill>
          </w14:textFill>
        </w:rPr>
        <w:t xml:space="preserve">电子招标投标交易平台（即“苏采云”系统，网址：</w:t>
      </w:r>
      <w:r>
        <w:rPr>
          <w:rFonts w:hint="eastAsia" w:ascii="宋体" w:hAnsi="宋体" w:eastAsia="宋体" w:cs="宋体"/>
          <w:color w:val="000000" w:themeColor="text1"/>
          <w:spacing w:val="-20"/>
          <w:highlight w:val="none"/>
          <w14:textFill>
            <w14:solidFill>
              <w14:schemeClr w14:val="tx1"/>
            </w14:solidFill>
          </w14:textFill>
        </w:rPr>
        <w:fldChar w:fldCharType="begin"/>
      </w:r>
      <w:r>
        <w:rPr>
          <w:rFonts w:hint="eastAsia" w:ascii="宋体" w:hAnsi="宋体" w:eastAsia="宋体" w:cs="宋体"/>
          <w:color w:val="000000" w:themeColor="text1"/>
          <w:spacing w:val="-20"/>
          <w:highlight w:val="none"/>
          <w14:textFill>
            <w14:solidFill>
              <w14:schemeClr w14:val="tx1"/>
            </w14:solidFill>
          </w14:textFill>
        </w:rPr>
        <w:instrText xml:space="preserve"> HYPERLINK "http://jszfcg.jsczt.cn/" \o "http://jszfcg.jsczt.cn/" </w:instrText>
      </w:r>
      <w:r>
        <w:rPr>
          <w:rFonts w:hint="eastAsia" w:ascii="宋体" w:hAnsi="宋体" w:eastAsia="宋体" w:cs="宋体"/>
          <w:color w:val="000000" w:themeColor="text1"/>
          <w:spacing w:val="-20"/>
          <w:highlight w:val="none"/>
          <w14:textFill>
            <w14:solidFill>
              <w14:schemeClr w14:val="tx1"/>
            </w14:solidFill>
          </w14:textFill>
        </w:rPr>
        <w:fldChar w:fldCharType="separate"/>
      </w:r>
      <w:r>
        <w:rPr>
          <w:rFonts w:hint="eastAsia" w:ascii="宋体" w:hAnsi="宋体" w:eastAsia="宋体" w:cs="宋体"/>
          <w:color w:val="000000" w:themeColor="text1"/>
          <w:spacing w:val="-20"/>
          <w:highlight w:val="none"/>
          <w14:textFill>
            <w14:solidFill>
              <w14:schemeClr w14:val="tx1"/>
            </w14:solidFill>
          </w14:textFill>
        </w:rPr>
        <w:t xml:space="preserve">http://jszfcg.jsczt.cn/</w:t>
      </w:r>
      <w:r>
        <w:rPr>
          <w:rFonts w:hint="eastAsia" w:ascii="宋体" w:hAnsi="宋体" w:eastAsia="宋体" w:cs="宋体"/>
          <w:color w:val="000000" w:themeColor="text1"/>
          <w:spacing w:val="-20"/>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t xml:space="preserve">）相关要求是本招标文件的组成部分。</w:t>
      </w:r>
      <w:bookmarkEnd w:id="7"/>
      <w:r/>
      <w:r/>
    </w:p>
    <w:p>
      <w:pPr>
        <w:pStyle w:val="1120"/>
        <w:numPr>
          <w:ilvl w:val="0"/>
          <w:numId w:val="0"/>
        </w:numPr>
        <w:jc w:val="both"/>
        <w:spacing w:after="120" w:line="274"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numPr>
          <w:ilvl w:val="0"/>
          <w:numId w:val="0"/>
        </w:numPr>
        <w:jc w:val="center"/>
        <w:rPr>
          <w:rFonts w:hint="eastAsia" w:ascii="宋体" w:hAnsi="宋体" w:eastAsia="宋体" w:cs="宋体"/>
          <w:b/>
          <w:color w:val="000000" w:themeColor="text1"/>
          <w:sz w:val="36"/>
          <w:szCs w:val="36"/>
          <w:highlight w:val="none"/>
          <w14:textFill>
            <w14:solidFill>
              <w14:schemeClr w14:val="tx1"/>
            </w14:solidFill>
          </w14:textFill>
        </w:rPr>
        <w:outlineLvl w:val="0"/>
      </w:pPr>
      <w:r>
        <w:rPr>
          <w:rFonts w:hint="eastAsia" w:ascii="宋体" w:hAnsi="宋体" w:eastAsia="宋体" w:cs="宋体"/>
          <w:b/>
          <w:color w:val="000000" w:themeColor="text1"/>
          <w:sz w:val="36"/>
          <w:szCs w:val="36"/>
          <w:highlight w:val="none"/>
          <w:lang w:val="en-US" w:eastAsia="zh-CN" w:bidi="ar-SA"/>
          <w14:textFill>
            <w14:solidFill>
              <w14:schemeClr w14:val="tx1"/>
            </w14:solidFill>
          </w14:textFill>
        </w:rPr>
        <w:t xml:space="preserve">第三章 </w:t>
      </w:r>
      <w:r>
        <w:rPr>
          <w:rFonts w:hint="eastAsia" w:ascii="宋体" w:hAnsi="宋体" w:eastAsia="宋体" w:cs="宋体"/>
          <w:b/>
          <w:color w:val="000000" w:themeColor="text1"/>
          <w:sz w:val="36"/>
          <w:szCs w:val="36"/>
          <w:highlight w:val="none"/>
          <w14:textFill>
            <w14:solidFill>
              <w14:schemeClr w14:val="tx1"/>
            </w14:solidFill>
          </w14:textFill>
        </w:rPr>
        <w:t xml:space="preserve">投标资料表</w:t>
      </w:r>
      <w:r/>
    </w:p>
    <w:p>
      <w:pPr>
        <w:pStyle w:val="1144"/>
        <w:ind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330"/>
        <w:ind w:firstLine="48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该资料表的条款项号是与《投标人须知》中条款项号对应的，或增加的条款，是对《投标人须知》的补充、修改和完善，如果有矛盾的话，应以本资料表为准。</w:t>
      </w:r>
      <w:r/>
    </w:p>
    <w:tbl>
      <w:tblPr>
        <w:tblStyle w:val="1105"/>
        <w:tblW w:w="963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6"/>
        <w:gridCol w:w="8386"/>
      </w:tblGrid>
      <w:tr>
        <w:trPr>
          <w:trHeight w:val="418"/>
        </w:trPr>
        <w:tc>
          <w:tcPr>
            <w:tcW w:w="1246" w:type="dxa"/>
            <w:vAlign w:val="top"/>
            <w:textDirection w:val="lrTb"/>
            <w:noWrap w:val="false"/>
          </w:tcPr>
          <w:p>
            <w:pPr>
              <w:ind w:firstLine="0"/>
              <w:jc w:val="center"/>
              <w:spacing w:line="400" w:lineRule="exact"/>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条款项号</w:t>
            </w:r>
            <w:r/>
          </w:p>
        </w:tc>
        <w:tc>
          <w:tcPr>
            <w:tcW w:w="8386" w:type="dxa"/>
            <w:vAlign w:val="top"/>
            <w:textDirection w:val="lrTb"/>
            <w:noWrap w:val="false"/>
          </w:tcPr>
          <w:p>
            <w:pPr>
              <w:ind w:firstLine="0"/>
              <w:jc w:val="center"/>
              <w:spacing w:line="400" w:lineRule="exact"/>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内容</w:t>
            </w:r>
            <w:r/>
          </w:p>
        </w:tc>
      </w:tr>
      <w:tr>
        <w:trPr/>
        <w:tc>
          <w:tcPr>
            <w:tcW w:w="1246"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8386" w:type="dxa"/>
            <w:vAlign w:val="top"/>
            <w:textDirection w:val="lrTb"/>
            <w:noWrap w:val="false"/>
          </w:tcPr>
          <w:p>
            <w:pPr>
              <w:ind w:left="0" w:firstLine="0"/>
              <w:jc w:val="center"/>
              <w:spacing w:line="400" w:lineRule="exact"/>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一、总则</w:t>
            </w:r>
            <w:r/>
          </w:p>
        </w:tc>
      </w:tr>
      <w:tr>
        <w:trPr/>
        <w:tc>
          <w:tcPr>
            <w:tcW w:w="1246"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w:t>
            </w:r>
            <w:r/>
          </w:p>
        </w:tc>
        <w:tc>
          <w:tcPr>
            <w:tcW w:w="8386" w:type="dxa"/>
            <w:vAlign w:val="top"/>
            <w:textDirection w:val="lrTb"/>
            <w:noWrap w:val="false"/>
          </w:tcPr>
          <w:p>
            <w:pPr>
              <w:ind w:firstLine="48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采购人：</w:t>
            </w:r>
            <w:r>
              <w:rPr>
                <w:rFonts w:hint="eastAsia" w:ascii="宋体" w:hAnsi="宋体" w:eastAsia="宋体" w:cs="宋体"/>
                <w:color w:val="000000" w:themeColor="text1"/>
                <w:highlight w:val="none"/>
                <w:lang w:val="en-US" w:eastAsia="zh-CN"/>
                <w14:textFill>
                  <w14:solidFill>
                    <w14:schemeClr w14:val="tx1"/>
                  </w14:solidFill>
                </w14:textFill>
              </w:rPr>
              <w:t xml:space="preserve">丰县</w:t>
            </w:r>
            <w:r>
              <w:rPr>
                <w:rFonts w:hint="eastAsia" w:ascii="宋体" w:hAnsi="宋体" w:eastAsia="宋体" w:cs="宋体"/>
                <w:color w:val="000000" w:themeColor="text1"/>
                <w:highlight w:val="none"/>
                <w14:textFill>
                  <w14:solidFill>
                    <w14:schemeClr w14:val="tx1"/>
                  </w14:solidFill>
                </w14:textFill>
              </w:rPr>
              <w:t xml:space="preserve">大数据管理中心  </w:t>
            </w:r>
            <w:r/>
          </w:p>
        </w:tc>
      </w:tr>
      <w:tr>
        <w:trPr/>
        <w:tc>
          <w:tcPr>
            <w:tcW w:w="1246"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2.1</w:t>
            </w:r>
            <w:r/>
          </w:p>
        </w:tc>
        <w:tc>
          <w:tcPr>
            <w:tcW w:w="8386" w:type="dxa"/>
            <w:vAlign w:val="top"/>
            <w:textDirection w:val="lrTb"/>
            <w:noWrap w:val="false"/>
          </w:tcPr>
          <w:p>
            <w:pPr>
              <w:ind w:firstLine="48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本次采购采用的政府采购方式：公开招标</w:t>
            </w:r>
            <w:r/>
          </w:p>
        </w:tc>
      </w:tr>
      <w:tr>
        <w:trPr>
          <w:trHeight w:val="90"/>
        </w:trPr>
        <w:tc>
          <w:tcPr>
            <w:tcW w:w="1246"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w:t>
            </w:r>
            <w:r/>
          </w:p>
        </w:tc>
        <w:tc>
          <w:tcPr>
            <w:tcW w:w="8386" w:type="dxa"/>
            <w:vAlign w:val="top"/>
            <w:textDirection w:val="lrTb"/>
            <w:noWrap w:val="false"/>
          </w:tcPr>
          <w:p>
            <w:pPr>
              <w:ind w:firstLine="480"/>
              <w:spacing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采购人确定的采购项目属性：</w:t>
            </w:r>
            <w:r>
              <w:rPr>
                <w:rFonts w:hint="eastAsia" w:ascii="宋体" w:hAnsi="宋体" w:eastAsia="宋体" w:cs="宋体"/>
                <w:color w:val="000000" w:themeColor="text1"/>
                <w:highlight w:val="none"/>
                <w:lang w:val="en-US" w:eastAsia="zh-CN"/>
                <w14:textFill>
                  <w14:solidFill>
                    <w14:schemeClr w14:val="tx1"/>
                  </w14:solidFill>
                </w14:textFill>
              </w:rPr>
              <w:t xml:space="preserve">服务</w:t>
            </w:r>
            <w:r/>
          </w:p>
          <w:p>
            <w:pPr>
              <w:ind w:firstLine="480"/>
              <w:spacing w:line="400" w:lineRule="exact"/>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本项目是否为专门面向中小微企业采购的项目：</w:t>
            </w:r>
            <w:r>
              <w:rPr>
                <w:rFonts w:hint="eastAsia" w:ascii="宋体" w:hAnsi="宋体" w:eastAsia="宋体" w:cs="宋体"/>
                <w:color w:val="000000" w:themeColor="text1"/>
                <w:highlight w:val="none"/>
                <w:lang w:val="en-US" w:eastAsia="zh-CN"/>
                <w14:textFill>
                  <w14:solidFill>
                    <w14:schemeClr w14:val="tx1"/>
                  </w14:solidFill>
                </w14:textFill>
              </w:rPr>
              <w:t xml:space="preserve">是</w:t>
            </w:r>
            <w:r/>
          </w:p>
        </w:tc>
      </w:tr>
      <w:tr>
        <w:trPr/>
        <w:tc>
          <w:tcPr>
            <w:tcW w:w="1246"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w:t>
            </w:r>
            <w:r/>
          </w:p>
        </w:tc>
        <w:tc>
          <w:tcPr>
            <w:tcW w:w="8386" w:type="dxa"/>
            <w:vAlign w:val="top"/>
            <w:textDirection w:val="lrTb"/>
            <w:noWrap w:val="false"/>
          </w:tcPr>
          <w:p>
            <w:pPr>
              <w:ind w:firstLine="48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本项目采购代理机构：丰县公共资源交易中心 </w:t>
            </w:r>
            <w:r/>
          </w:p>
        </w:tc>
      </w:tr>
      <w:tr>
        <w:trPr/>
        <w:tc>
          <w:tcPr>
            <w:tcW w:w="1246"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w:t>
            </w:r>
            <w:r/>
          </w:p>
        </w:tc>
        <w:tc>
          <w:tcPr>
            <w:tcW w:w="8386" w:type="dxa"/>
            <w:vAlign w:val="top"/>
            <w:textDirection w:val="lrTb"/>
            <w:noWrap w:val="false"/>
          </w:tcPr>
          <w:p>
            <w:pPr>
              <w:ind w:firstLine="48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投标人的资格条件：</w:t>
            </w:r>
            <w:r/>
          </w:p>
          <w:p>
            <w:pPr>
              <w:ind w:firstLine="480"/>
              <w:spacing w:line="400" w:lineRule="exact"/>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（一）满足《中华人民共和国政府采购法》第二十二条规定</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80"/>
              <w:spacing w:line="400" w:lineRule="exact"/>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（二）落实政府采购政策需满足的资格要求：此项目属于专门面向中小微企业采购的项目，</w:t>
            </w:r>
            <w:r>
              <w:rPr>
                <w:rFonts w:hint="eastAsia" w:ascii="宋体" w:hAnsi="宋体" w:eastAsia="宋体" w:cs="宋体"/>
                <w:color w:val="000000" w:themeColor="text1"/>
                <w:highlight w:val="none"/>
                <w:lang w:val="en-US" w:eastAsia="zh-CN"/>
                <w14:textFill>
                  <w14:solidFill>
                    <w14:schemeClr w14:val="tx1"/>
                  </w14:solidFill>
                </w14:textFill>
              </w:rPr>
              <w:t xml:space="preserve">即提供服务的</w:t>
            </w:r>
            <w:r>
              <w:rPr>
                <w:rFonts w:hint="eastAsia" w:ascii="宋体" w:hAnsi="宋体" w:eastAsia="宋体" w:cs="宋体"/>
                <w:color w:val="000000" w:themeColor="text1"/>
                <w:highlight w:val="none"/>
                <w14:textFill>
                  <w14:solidFill>
                    <w14:schemeClr w14:val="tx1"/>
                  </w14:solidFill>
                </w14:textFill>
              </w:rPr>
              <w:t xml:space="preserve">供应商应为中小微企业、监狱企业、残疾人福利性单位。</w:t>
            </w:r>
            <w:r/>
          </w:p>
          <w:p>
            <w:pPr>
              <w:ind w:firstLine="480"/>
              <w:spacing w:line="400" w:lineRule="exact"/>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（三）本项目的特定资格要求：</w:t>
            </w:r>
            <w:r>
              <w:rPr>
                <w:rFonts w:hint="eastAsia" w:ascii="宋体" w:hAnsi="宋体" w:eastAsia="宋体" w:cs="宋体"/>
                <w:color w:val="000000" w:themeColor="text1"/>
                <w:highlight w:val="none"/>
                <w:lang w:val="en-US" w:eastAsia="zh-CN"/>
                <w14:textFill>
                  <w14:solidFill>
                    <w14:schemeClr w14:val="tx1"/>
                  </w14:solidFill>
                </w14:textFill>
              </w:rPr>
              <w:t xml:space="preserve">无</w:t>
            </w:r>
            <w:r/>
          </w:p>
          <w:p>
            <w:pPr>
              <w:ind w:firstLine="48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说明：</w:t>
            </w:r>
            <w:r/>
          </w:p>
          <w:p>
            <w:pPr>
              <w:ind w:firstLine="48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.单位负责人为同一人或者存在直接控股、管理关系的不同供应商，不得参加同一合同项下的政府采购活动。</w:t>
            </w:r>
            <w:r/>
          </w:p>
          <w:p>
            <w:pPr>
              <w:ind w:firstLine="48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.为本采购项目提供整体设计、规范编制或者项目管理、监理、检测等服务的供应商，不得再参加本采购项目的采购活动。</w:t>
            </w:r>
            <w:r/>
          </w:p>
          <w:p>
            <w:pPr>
              <w:ind w:firstLine="48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.查询及使用供应商信用记录</w:t>
            </w:r>
            <w:r>
              <w:rPr>
                <w:rFonts w:hint="eastAsia" w:ascii="宋体" w:hAnsi="宋体" w:eastAsia="宋体" w:cs="宋体"/>
                <w:color w:val="000000" w:themeColor="text1"/>
                <w:highlight w:val="none"/>
                <w:lang w:bidi="ar"/>
                <w14:textFill>
                  <w14:solidFill>
                    <w14:schemeClr w14:val="tx1"/>
                  </w14:solidFill>
                </w14:textFill>
              </w:rPr>
              <w:t xml:space="preserve">（投标文件中无需提供证明材料）</w:t>
            </w:r>
            <w:r>
              <w:rPr>
                <w:rFonts w:hint="eastAsia" w:ascii="宋体" w:hAnsi="宋体" w:eastAsia="宋体" w:cs="宋体"/>
                <w:color w:val="000000" w:themeColor="text1"/>
                <w:highlight w:val="none"/>
                <w14:textFill>
                  <w14:solidFill>
                    <w14:schemeClr w14:val="tx1"/>
                  </w14:solidFill>
                </w14:textFill>
              </w:rPr>
              <w:t xml:space="preserve">：</w:t>
            </w:r>
            <w:r/>
          </w:p>
          <w:p>
            <w:pPr>
              <w:ind w:left="0" w:firstLine="480"/>
              <w:keepLines w:val="0"/>
              <w:keepNext w:val="0"/>
              <w:pageBreakBefore w:val="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（1）由采购人查询信用信息。</w:t>
            </w:r>
            <w:r/>
          </w:p>
          <w:p>
            <w:pPr>
              <w:ind w:left="0" w:firstLine="480"/>
              <w:keepLines w:val="0"/>
              <w:keepNext w:val="0"/>
              <w:pageBreakBefore w:val="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（2）查询渠道：“信用中国”网（</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"http://www.creditchina.gov.cn/"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www.creditchina.gov.cn</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及</w:t>
            </w:r>
            <w:r>
              <w:rPr>
                <w:rFonts w:hint="eastAsia" w:ascii="宋体" w:hAnsi="宋体" w:eastAsia="宋体" w:cs="宋体"/>
                <w:color w:val="000000" w:themeColor="text1"/>
                <w:highlight w:val="none"/>
                <w14:textFill>
                  <w14:solidFill>
                    <w14:schemeClr w14:val="tx1"/>
                  </w14:solidFill>
                </w14:textFill>
              </w:rPr>
              <w:t xml:space="preserve">中国政府采购网（</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"http://www.ccgp.gov.cn/"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www.ccgp.gov.cn</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t xml:space="preserve">）；</w:t>
            </w:r>
            <w:r/>
          </w:p>
          <w:p>
            <w:pPr>
              <w:ind w:firstLine="48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（3）截止时点（查询环节）：开标后资格审查结束前。</w:t>
            </w:r>
            <w:r/>
          </w:p>
          <w:p>
            <w:pPr>
              <w:ind w:firstLine="48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（4）信用信息查询记录和证据留存的具体方式：网页截屏打印，与其他采购文件一并保存。</w:t>
            </w:r>
            <w:r/>
          </w:p>
          <w:p>
            <w:pPr>
              <w:ind w:firstLine="48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（5）信用信息的使用规则：</w:t>
            </w:r>
            <w:r/>
          </w:p>
          <w:p>
            <w:pPr>
              <w:ind w:firstLine="48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rHeight w:val="451"/>
        </w:trPr>
        <w:tc>
          <w:tcPr>
            <w:tcW w:w="1246"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7.1</w:t>
            </w:r>
            <w:r/>
          </w:p>
        </w:tc>
        <w:tc>
          <w:tcPr>
            <w:tcW w:w="8386" w:type="dxa"/>
            <w:vAlign w:val="top"/>
            <w:textDirection w:val="lrTb"/>
            <w:noWrap w:val="false"/>
          </w:tcPr>
          <w:p>
            <w:pPr>
              <w:ind w:firstLine="48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招标代理服务费：无</w:t>
            </w:r>
            <w:r/>
          </w:p>
        </w:tc>
      </w:tr>
      <w:tr>
        <w:trPr/>
        <w:tc>
          <w:tcPr>
            <w:tcW w:w="1246"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8386" w:type="dxa"/>
            <w:vAlign w:val="top"/>
            <w:textDirection w:val="lrTb"/>
            <w:noWrap w:val="false"/>
          </w:tcPr>
          <w:p>
            <w:pPr>
              <w:ind w:left="0" w:firstLine="0"/>
              <w:jc w:val="center"/>
              <w:spacing w:line="400" w:lineRule="exact"/>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二、招标</w:t>
            </w:r>
            <w:r/>
          </w:p>
        </w:tc>
      </w:tr>
      <w:tr>
        <w:trPr>
          <w:trHeight w:val="2260"/>
        </w:trPr>
        <w:tc>
          <w:tcPr>
            <w:tcW w:w="1246"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9.1</w:t>
            </w:r>
            <w:r/>
          </w:p>
        </w:tc>
        <w:tc>
          <w:tcPr>
            <w:tcW w:w="8386" w:type="dxa"/>
            <w:vAlign w:val="top"/>
            <w:textDirection w:val="lrTb"/>
            <w:noWrap w:val="false"/>
          </w:tcPr>
          <w:p>
            <w:pPr>
              <w:ind w:firstLine="48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val="0"/>
                <w:bCs/>
                <w:caps w:val="0"/>
                <w:color w:val="000000" w:themeColor="text1"/>
                <w:sz w:val="24"/>
                <w:szCs w:val="24"/>
                <w:highlight w:val="none"/>
                <w:lang w:val="en-US" w:eastAsia="zh-CN" w:bidi="ar-SA"/>
                <w14:textFill>
                  <w14:solidFill>
                    <w14:schemeClr w14:val="tx1"/>
                  </w14:solidFill>
                </w14:textFill>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W w:w="1246"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9.2</w:t>
            </w:r>
            <w:r/>
          </w:p>
        </w:tc>
        <w:tc>
          <w:tcPr>
            <w:tcW w:w="8386" w:type="dxa"/>
            <w:vAlign w:val="top"/>
            <w:textDirection w:val="lrTb"/>
            <w:noWrap w:val="false"/>
          </w:tcPr>
          <w:p>
            <w:pPr>
              <w:ind w:firstLine="480"/>
              <w:spacing w:line="400" w:lineRule="exact"/>
              <w:tabs>
                <w:tab w:val="left" w:pos="576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投标人应根据实际需要自行联系踏勘现场，并对相关数据、要求进行确认，责任和风险自行承担。</w:t>
            </w:r>
            <w:r/>
          </w:p>
        </w:tc>
      </w:tr>
      <w:tr>
        <w:trPr/>
        <w:tc>
          <w:tcPr>
            <w:tcW w:w="1246"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9.3</w:t>
            </w:r>
            <w:r/>
          </w:p>
        </w:tc>
        <w:tc>
          <w:tcPr>
            <w:tcW w:w="8386" w:type="dxa"/>
            <w:vAlign w:val="top"/>
            <w:textDirection w:val="lrTb"/>
            <w:noWrap w:val="false"/>
          </w:tcPr>
          <w:p>
            <w:pPr>
              <w:ind w:firstLine="48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不安排开标前答疑会</w:t>
            </w:r>
            <w:r/>
          </w:p>
        </w:tc>
      </w:tr>
      <w:tr>
        <w:trPr/>
        <w:tc>
          <w:tcPr>
            <w:tcW w:w="1246"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8386" w:type="dxa"/>
            <w:vAlign w:val="top"/>
            <w:textDirection w:val="lrTb"/>
            <w:noWrap w:val="false"/>
          </w:tcPr>
          <w:p>
            <w:pPr>
              <w:ind w:left="0" w:firstLine="0"/>
              <w:jc w:val="center"/>
              <w:spacing w:line="400" w:lineRule="exact"/>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三、投标</w:t>
            </w:r>
            <w:r/>
          </w:p>
        </w:tc>
      </w:tr>
      <w:tr>
        <w:trPr>
          <w:trHeight w:val="3208"/>
        </w:trPr>
        <w:tc>
          <w:tcPr>
            <w:tcW w:w="1246"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w:t>
            </w:r>
            <w:r/>
          </w:p>
        </w:tc>
        <w:tc>
          <w:tcPr>
            <w:tcW w:w="8386" w:type="dxa"/>
            <w:vAlign w:val="top"/>
            <w:textDirection w:val="lrTb"/>
            <w:noWrap w:val="false"/>
          </w:tcPr>
          <w:p>
            <w:pPr>
              <w:ind w:left="0" w:right="0" w:firstLine="480"/>
              <w:keepLines w:val="0"/>
              <w:keepNext w:val="0"/>
              <w:pageBreakBefore w:val="0"/>
              <w:spacing w:before="0" w:beforeAutospacing="0" w:after="0" w:afterAutospacing="0" w:line="400" w:lineRule="exact"/>
              <w:widowControl w:val="off"/>
              <w:rPr>
                <w:rFonts w:hint="eastAsia" w:ascii="宋体" w:hAnsi="宋体" w:eastAsia="宋体" w:cs="宋体"/>
                <w:b w:val="0"/>
                <w:bCs/>
                <w:caps w:val="0"/>
                <w:color w:val="000000" w:themeColor="text1"/>
                <w:sz w:val="24"/>
                <w:szCs w:val="24"/>
                <w:highlight w:val="none"/>
                <w:lang w:val="en-US" w:eastAsia="zh-CN" w:bidi="ar-SA"/>
                <w14:textFill>
                  <w14:solidFill>
                    <w14:schemeClr w14:val="tx1"/>
                  </w14:solidFill>
                </w14:textFill>
              </w:rPr>
              <w:outlineLvl w:val="9"/>
              <w:suppressLineNumbers w:val="0"/>
            </w:pPr>
            <w:r>
              <w:rPr>
                <w:rFonts w:hint="eastAsia" w:ascii="宋体" w:hAnsi="宋体" w:eastAsia="宋体" w:cs="宋体"/>
                <w:b w:val="0"/>
                <w:bCs/>
                <w:caps w:val="0"/>
                <w:color w:val="000000" w:themeColor="text1"/>
                <w:sz w:val="24"/>
                <w:szCs w:val="24"/>
                <w:highlight w:val="none"/>
                <w:lang w:val="en-US" w:eastAsia="zh-CN" w:bidi="ar-SA"/>
                <w14:textFill>
                  <w14:solidFill>
                    <w14:schemeClr w14:val="tx1"/>
                  </w14:solidFill>
                </w14:textFill>
              </w:rPr>
              <w:t xml:space="preserve">投标人须用政府采购客户端工具导入“苏采云”系统下载的采购文件（后缀名为“.kedt”）后，离线编制投标文件。采购文件（后缀名为“.kedt”）及政府采购客户端工具可通过“苏采云”系统（网址：</w:t>
            </w:r>
            <w:r>
              <w:rPr>
                <w:rFonts w:hint="eastAsia" w:ascii="宋体" w:hAnsi="宋体" w:eastAsia="宋体" w:cs="宋体"/>
                <w:b w:val="0"/>
                <w:bCs/>
                <w:caps w:val="0"/>
                <w:color w:val="000000" w:themeColor="text1"/>
                <w:sz w:val="24"/>
                <w:szCs w:val="24"/>
                <w:highlight w:val="none"/>
                <w:lang w:val="en-US" w:eastAsia="zh-CN" w:bidi="ar-SA"/>
                <w14:textFill>
                  <w14:solidFill>
                    <w14:schemeClr w14:val="tx1"/>
                  </w14:solidFill>
                </w14:textFill>
              </w:rPr>
              <w:fldChar w:fldCharType="begin"/>
            </w:r>
            <w:r>
              <w:rPr>
                <w:rFonts w:hint="eastAsia" w:ascii="宋体" w:hAnsi="宋体" w:eastAsia="宋体" w:cs="宋体"/>
                <w:b w:val="0"/>
                <w:bCs/>
                <w:caps w:val="0"/>
                <w:color w:val="000000" w:themeColor="text1"/>
                <w:sz w:val="24"/>
                <w:szCs w:val="24"/>
                <w:highlight w:val="none"/>
                <w:lang w:val="en-US" w:eastAsia="zh-CN" w:bidi="ar-SA"/>
                <w14:textFill>
                  <w14:solidFill>
                    <w14:schemeClr w14:val="tx1"/>
                  </w14:solidFill>
                </w14:textFill>
              </w:rPr>
              <w:instrText xml:space="preserve"> HYPERLINK "http://jszfcg.jsczt.cn/" </w:instrText>
            </w:r>
            <w:r>
              <w:rPr>
                <w:rFonts w:hint="eastAsia" w:ascii="宋体" w:hAnsi="宋体" w:eastAsia="宋体" w:cs="宋体"/>
                <w:b w:val="0"/>
                <w:bCs/>
                <w:caps w:val="0"/>
                <w:color w:val="000000" w:themeColor="text1"/>
                <w:sz w:val="24"/>
                <w:szCs w:val="24"/>
                <w:highlight w:val="none"/>
                <w:lang w:val="en-US" w:eastAsia="zh-CN" w:bidi="ar-SA"/>
                <w14:textFill>
                  <w14:solidFill>
                    <w14:schemeClr w14:val="tx1"/>
                  </w14:solidFill>
                </w14:textFill>
              </w:rPr>
              <w:fldChar w:fldCharType="separate"/>
            </w:r>
            <w:r>
              <w:rPr>
                <w:rFonts w:hint="eastAsia" w:ascii="宋体" w:hAnsi="宋体" w:eastAsia="宋体" w:cs="宋体"/>
                <w:b w:val="0"/>
                <w:bCs/>
                <w:caps w:val="0"/>
                <w:color w:val="000000" w:themeColor="text1"/>
                <w:sz w:val="24"/>
                <w:szCs w:val="24"/>
                <w:highlight w:val="none"/>
                <w:lang w:val="en-US" w:eastAsia="zh-CN" w:bidi="ar-SA"/>
                <w14:textFill>
                  <w14:solidFill>
                    <w14:schemeClr w14:val="tx1"/>
                  </w14:solidFill>
                </w14:textFill>
              </w:rPr>
              <w:t xml:space="preserve">http://jszfcg.jsczt.cn/</w:t>
            </w:r>
            <w:r>
              <w:rPr>
                <w:rFonts w:hint="eastAsia" w:ascii="宋体" w:hAnsi="宋体" w:eastAsia="宋体" w:cs="宋体"/>
                <w:b w:val="0"/>
                <w:bCs/>
                <w:caps w:val="0"/>
                <w:color w:val="000000" w:themeColor="text1"/>
                <w:sz w:val="24"/>
                <w:szCs w:val="24"/>
                <w:highlight w:val="none"/>
                <w:lang w:val="en-US" w:eastAsia="zh-CN" w:bidi="ar-SA"/>
                <w14:textFill>
                  <w14:solidFill>
                    <w14:schemeClr w14:val="tx1"/>
                  </w14:solidFill>
                </w14:textFill>
              </w:rPr>
              <w:fldChar w:fldCharType="end"/>
            </w:r>
            <w:r>
              <w:rPr>
                <w:rFonts w:hint="eastAsia" w:ascii="宋体" w:hAnsi="宋体" w:eastAsia="宋体" w:cs="宋体"/>
                <w:b w:val="0"/>
                <w:bCs/>
                <w:caps w:val="0"/>
                <w:color w:val="000000" w:themeColor="text1"/>
                <w:sz w:val="24"/>
                <w:szCs w:val="24"/>
                <w:highlight w:val="none"/>
                <w:lang w:val="en-US" w:eastAsia="zh-CN" w:bidi="ar-SA"/>
                <w14:textFill>
                  <w14:solidFill>
                    <w14:schemeClr w14:val="tx1"/>
                  </w14:solidFill>
                </w14:textFill>
              </w:rPr>
              <w:t xml:space="preserve">）--已报名项目--报名详情页面内相应链接进行下载；“苏采云”系统供应商操作手册的获取及操作中的技术问题可通过“苏采云”系统中的客服热线进行咨询。</w:t>
            </w:r>
            <w:r/>
          </w:p>
          <w:p>
            <w:pPr>
              <w:ind w:firstLine="480"/>
              <w:jc w:val="left"/>
              <w:spacing w:line="400" w:lineRule="exact"/>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val="0"/>
                <w:bCs/>
                <w:caps w:val="0"/>
                <w:color w:val="000000" w:themeColor="text1"/>
                <w:sz w:val="24"/>
                <w:szCs w:val="24"/>
                <w:highlight w:val="none"/>
                <w:lang w:val="en-US" w:eastAsia="zh-CN" w:bidi="ar-SA"/>
                <w14:textFill>
                  <w14:solidFill>
                    <w14:schemeClr w14:val="tx1"/>
                  </w14:solidFill>
                </w14:textFill>
              </w:rPr>
              <w:t xml:space="preserve">特别说明：政府采购客户端工具需要导出加密的投标文件（后缀名为zip）。</w:t>
            </w:r>
            <w:r>
              <w:rPr>
                <w:rFonts w:hint="eastAsia" w:ascii="宋体" w:hAnsi="宋体" w:eastAsia="宋体" w:cs="宋体"/>
                <w:b/>
                <w:bCs w:val="0"/>
                <w:caps w:val="0"/>
                <w:color w:val="000000" w:themeColor="text1"/>
                <w:sz w:val="24"/>
                <w:szCs w:val="24"/>
                <w:highlight w:val="none"/>
                <w:lang w:val="en-US" w:eastAsia="zh-CN" w:bidi="ar-SA"/>
                <w14:textFill>
                  <w14:solidFill>
                    <w14:schemeClr w14:val="tx1"/>
                  </w14:solidFill>
                </w14:textFill>
              </w:rPr>
              <w:t xml:space="preserve">投标文件不得超过150M！</w:t>
            </w:r>
            <w:r/>
          </w:p>
        </w:tc>
      </w:tr>
      <w:tr>
        <w:trPr>
          <w:trHeight w:val="368"/>
        </w:trPr>
        <w:tc>
          <w:tcPr>
            <w:tcW w:w="1246"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11.1</w:t>
            </w:r>
            <w:r/>
          </w:p>
        </w:tc>
        <w:tc>
          <w:tcPr>
            <w:tcW w:w="8386" w:type="dxa"/>
            <w:vAlign w:val="top"/>
            <w:textDirection w:val="lrTb"/>
            <w:noWrap w:val="false"/>
          </w:tcPr>
          <w:p>
            <w:pPr>
              <w:ind w:firstLine="48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投标文件的语言为中文</w:t>
            </w:r>
            <w:r/>
          </w:p>
        </w:tc>
      </w:tr>
      <w:tr>
        <w:trPr/>
        <w:tc>
          <w:tcPr>
            <w:tcW w:w="1246"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12.1</w:t>
            </w:r>
            <w:r/>
          </w:p>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8386" w:type="dxa"/>
            <w:vAlign w:val="top"/>
            <w:textDirection w:val="lrTb"/>
            <w:noWrap w:val="false"/>
          </w:tcPr>
          <w:p>
            <w:pPr>
              <w:ind w:firstLine="48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电子投标文件编制要求：</w:t>
            </w:r>
            <w:r/>
          </w:p>
          <w:p>
            <w:pPr>
              <w:ind w:firstLine="480"/>
              <w:spacing w:line="400" w:lineRule="exact"/>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请按照以下要求（包括但不限于以下要求）制作：</w:t>
            </w:r>
            <w:r/>
          </w:p>
          <w:p>
            <w:pPr>
              <w:ind w:firstLine="482"/>
              <w:spacing w:line="400" w:lineRule="exac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highlight w:val="none"/>
                <w14:textFill>
                  <w14:solidFill>
                    <w14:schemeClr w14:val="tx1"/>
                  </w14:solidFill>
                </w14:textFill>
              </w:rPr>
              <w:t xml:space="preserve">一、基本目录</w:t>
            </w:r>
            <w:r/>
          </w:p>
          <w:p>
            <w:pPr>
              <w:ind w:firstLine="48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1.《开标一览表》（加盖电子签章，政府采购客户端工具输入报价自动生成</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w:t>
            </w:r>
            <w:r/>
          </w:p>
          <w:p>
            <w:pPr>
              <w:ind w:firstLine="48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2.《授权委托书》（如有授权，加盖电子签章，格式见招标文件第七章《投标文件相关格式》）；</w:t>
            </w:r>
            <w:r/>
          </w:p>
          <w:p>
            <w:pPr>
              <w:ind w:firstLine="48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3.《投标人承诺》（加盖电子签章，格式见招标文件第七章《投标文件相关格式》）；</w:t>
            </w:r>
            <w:r/>
          </w:p>
          <w:p>
            <w:pPr>
              <w:ind w:firstLine="48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4.《投标人基本情况表》（加盖电子签章，格式见招标文件第七章《投标文件相关格式》）；</w:t>
            </w:r>
            <w:r/>
          </w:p>
          <w:p>
            <w:pPr>
              <w:ind w:firstLine="480"/>
              <w:spacing w:line="400" w:lineRule="exact"/>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14:textFill>
                  <w14:solidFill>
                    <w14:schemeClr w14:val="tx1"/>
                  </w14:solidFill>
                </w14:textFill>
              </w:rPr>
              <w:t xml:space="preserve">.所投产品的环境标志产品认证证书的扫描件（如有）</w:t>
            </w:r>
            <w:r>
              <w:rPr>
                <w:rFonts w:hint="eastAsia" w:ascii="宋体" w:hAnsi="宋体" w:eastAsia="宋体" w:cs="宋体"/>
                <w:color w:val="000000" w:themeColor="text1"/>
                <w:highlight w:val="none"/>
                <w:lang w:val="en-US" w:eastAsia="zh-CN"/>
                <w14:textFill>
                  <w14:solidFill>
                    <w14:schemeClr w14:val="tx1"/>
                  </w14:solidFill>
                </w14:textFill>
              </w:rPr>
              <w:t xml:space="preserve">；</w:t>
            </w:r>
            <w:r/>
          </w:p>
          <w:p>
            <w:pPr>
              <w:ind w:firstLine="48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.所投产品的节能产品认证证书的扫描件（如有）。</w:t>
            </w:r>
            <w:r/>
          </w:p>
          <w:p>
            <w:pPr>
              <w:pStyle w:val="113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80"/>
              <w:spacing w:line="400" w:lineRule="exact"/>
              <w:rPr>
                <w:rFonts w:hint="eastAsia"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二、资格条件</w:t>
            </w:r>
            <w:r>
              <w:rPr>
                <w:rFonts w:hint="eastAsia" w:ascii="宋体" w:hAnsi="宋体" w:eastAsia="宋体" w:cs="宋体"/>
                <w:b/>
                <w:color w:val="000000" w:themeColor="text1"/>
                <w:highlight w:val="none"/>
                <w14:textFill>
                  <w14:solidFill>
                    <w14:schemeClr w14:val="tx1"/>
                  </w14:solidFill>
                </w14:textFill>
              </w:rPr>
              <w:t xml:space="preserve">（</w:t>
            </w:r>
            <w:r>
              <w:rPr>
                <w:rFonts w:hint="eastAsia" w:ascii="宋体" w:hAnsi="宋体" w:eastAsia="宋体" w:cs="宋体"/>
                <w:b/>
                <w:color w:val="000000" w:themeColor="text1"/>
                <w:highlight w:val="none"/>
                <w:lang w:val="en-US" w:eastAsia="zh-CN"/>
                <w14:textFill>
                  <w14:solidFill>
                    <w14:schemeClr w14:val="tx1"/>
                  </w14:solidFill>
                </w14:textFill>
              </w:rPr>
              <w:t xml:space="preserve">1-8条</w:t>
            </w:r>
            <w:r>
              <w:rPr>
                <w:rFonts w:hint="eastAsia" w:ascii="宋体" w:hAnsi="宋体" w:eastAsia="宋体" w:cs="宋体"/>
                <w:b/>
                <w:color w:val="000000" w:themeColor="text1"/>
                <w:highlight w:val="none"/>
                <w14:textFill>
                  <w14:solidFill>
                    <w14:schemeClr w14:val="tx1"/>
                  </w14:solidFill>
                </w14:textFill>
              </w:rPr>
              <w:t xml:space="preserve">必须提供，否则投标无效）</w:t>
            </w:r>
            <w:r/>
          </w:p>
          <w:p>
            <w:pPr>
              <w:ind w:firstLine="480"/>
              <w:spacing w:line="40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 xml:space="preserve">1.</w:t>
            </w:r>
            <w:r>
              <w:rPr>
                <w:rFonts w:hint="eastAsia" w:ascii="宋体" w:hAnsi="宋体" w:eastAsia="宋体" w:cs="宋体"/>
                <w:bCs/>
                <w:color w:val="000000" w:themeColor="text1"/>
                <w:highlight w:val="none"/>
                <w14:textFill>
                  <w14:solidFill>
                    <w14:schemeClr w14:val="tx1"/>
                  </w14:solidFill>
                </w14:textFill>
              </w:rPr>
              <w:t xml:space="preserve">投标人合法有效的法人或者其他组织的营业执照等证明文件</w:t>
            </w:r>
            <w:r>
              <w:rPr>
                <w:rFonts w:hint="eastAsia" w:ascii="宋体" w:hAnsi="宋体" w:eastAsia="宋体" w:cs="宋体"/>
                <w:bCs/>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投标人</w:t>
            </w:r>
            <w:r>
              <w:rPr>
                <w:rFonts w:hint="eastAsia" w:ascii="宋体" w:hAnsi="宋体" w:eastAsia="宋体" w:cs="宋体"/>
                <w:bCs/>
                <w:color w:val="000000" w:themeColor="text1"/>
                <w:highlight w:val="none"/>
                <w:lang w:val="en-US" w:eastAsia="zh-CN"/>
                <w14:textFill>
                  <w14:solidFill>
                    <w14:schemeClr w14:val="tx1"/>
                  </w14:solidFill>
                </w14:textFill>
              </w:rPr>
              <w:t xml:space="preserve">为分支机构的，还须提供法人公司批准其参加本项目投标的授权文件</w:t>
            </w:r>
            <w:r>
              <w:rPr>
                <w:rFonts w:hint="eastAsia" w:ascii="宋体" w:hAnsi="宋体" w:eastAsia="宋体" w:cs="宋体"/>
                <w:bCs/>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，自然人的身份证明。以上证明文件提供扫描件。</w:t>
            </w:r>
            <w:r/>
          </w:p>
          <w:p>
            <w:pPr>
              <w:numPr>
                <w:ilvl w:val="0"/>
                <w:numId w:val="0"/>
              </w:numPr>
              <w:ind w:firstLine="480"/>
              <w:spacing w:line="40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2.投标人财务状况证明材料原件扫描件（提供以下选项之一即可）：</w:t>
            </w:r>
            <w:r/>
          </w:p>
          <w:p>
            <w:pPr>
              <w:ind w:firstLine="480"/>
              <w:spacing w:line="400" w:lineRule="exact"/>
              <w:rPr>
                <w:rFonts w:hint="eastAsia"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A.</w:t>
            </w:r>
            <w:r>
              <w:rPr>
                <w:rFonts w:hint="eastAsia" w:ascii="宋体" w:hAnsi="宋体" w:eastAsia="宋体" w:cs="宋体"/>
                <w:bCs/>
                <w:color w:val="000000" w:themeColor="text1"/>
                <w:highlight w:val="none"/>
                <w14:textFill>
                  <w14:solidFill>
                    <w14:schemeClr w14:val="tx1"/>
                  </w14:solidFill>
                </w14:textFill>
              </w:rPr>
              <w:t xml:space="preserve">投标人的本项目开标时间前6个月内任何日期的资产负债表及利润表月报表</w:t>
            </w:r>
            <w:r>
              <w:rPr>
                <w:rFonts w:hint="eastAsia" w:ascii="宋体" w:hAnsi="宋体" w:eastAsia="宋体" w:cs="宋体"/>
                <w:bCs/>
                <w:color w:val="000000" w:themeColor="text1"/>
                <w:highlight w:val="none"/>
                <w:lang w:val="en-US" w:eastAsia="zh-CN"/>
                <w14:textFill>
                  <w14:solidFill>
                    <w14:schemeClr w14:val="tx1"/>
                  </w14:solidFill>
                </w14:textFill>
              </w:rPr>
              <w:t xml:space="preserve">；</w:t>
            </w:r>
            <w:r/>
          </w:p>
          <w:p>
            <w:pPr>
              <w:ind w:firstLine="480"/>
              <w:spacing w:line="40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B.投标人基本开户银行出具的资信证明；</w:t>
            </w:r>
            <w:r/>
          </w:p>
          <w:p>
            <w:pPr>
              <w:ind w:firstLine="480"/>
              <w:spacing w:line="40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C.财政部门认可的政府采购专业担保机构出具的投标担保函。</w:t>
            </w:r>
            <w:r/>
          </w:p>
          <w:p>
            <w:pPr>
              <w:ind w:firstLine="480"/>
              <w:spacing w:line="40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 xml:space="preserve">3.</w:t>
            </w:r>
            <w:r>
              <w:rPr>
                <w:rFonts w:hint="eastAsia" w:ascii="宋体" w:hAnsi="宋体" w:eastAsia="宋体" w:cs="宋体"/>
                <w:bCs/>
                <w:color w:val="000000" w:themeColor="text1"/>
                <w:highlight w:val="none"/>
                <w14:textFill>
                  <w14:solidFill>
                    <w14:schemeClr w14:val="tx1"/>
                  </w14:solidFill>
                </w14:textFill>
              </w:rPr>
              <w:t xml:space="preserve">投标人在本项目开标时间前6个月内任何1个月的依法缴纳税收和社会保障资金的相关材料原件扫描件</w:t>
            </w:r>
            <w:r>
              <w:rPr>
                <w:rFonts w:hint="eastAsia" w:ascii="宋体" w:hAnsi="宋体" w:eastAsia="宋体" w:cs="宋体"/>
                <w:bCs/>
                <w:color w:val="000000" w:themeColor="text1"/>
                <w:highlight w:val="none"/>
                <w:lang w:val="en-US"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刚成立企业提供依法缴纳税收和依法缴纳社会保障资金承诺函</w:t>
            </w:r>
            <w:r>
              <w:rPr>
                <w:rFonts w:hint="eastAsia" w:ascii="宋体" w:hAnsi="宋体" w:eastAsia="宋体" w:cs="宋体"/>
                <w:bCs/>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，依法免税或不需要缴纳社会保障资金的投标人应提供相应其依法免税或不需要缴纳社会保障资金的证明文件原件扫描件；</w:t>
            </w:r>
            <w:r/>
          </w:p>
          <w:p>
            <w:pPr>
              <w:ind w:firstLine="480"/>
              <w:spacing w:line="40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 xml:space="preserve">4.</w:t>
            </w:r>
            <w:r>
              <w:rPr>
                <w:rFonts w:hint="eastAsia" w:ascii="宋体" w:hAnsi="宋体" w:eastAsia="宋体" w:cs="宋体"/>
                <w:bCs/>
                <w:color w:val="000000" w:themeColor="text1"/>
                <w:highlight w:val="none"/>
                <w14:textFill>
                  <w14:solidFill>
                    <w14:schemeClr w14:val="tx1"/>
                  </w14:solidFill>
                </w14:textFill>
              </w:rPr>
              <w:t xml:space="preserve">具备履行合同所必需的设备和专业技术能力证明材料；</w:t>
            </w:r>
            <w:r/>
          </w:p>
          <w:p>
            <w:pPr>
              <w:ind w:firstLine="480"/>
              <w:spacing w:line="40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投标文件中根据项目需求提供《具备履行合同所必需的设备和专业技术能力的书面声明》（</w:t>
            </w:r>
            <w:r>
              <w:rPr>
                <w:rFonts w:hint="eastAsia" w:ascii="宋体" w:hAnsi="宋体" w:eastAsia="宋体" w:cs="宋体"/>
                <w:color w:val="000000" w:themeColor="text1"/>
                <w:highlight w:val="none"/>
                <w14:textFill>
                  <w14:solidFill>
                    <w14:schemeClr w14:val="tx1"/>
                  </w14:solidFill>
                </w14:textFill>
              </w:rPr>
              <w:t xml:space="preserve">加盖电子签章</w:t>
            </w:r>
            <w:r>
              <w:rPr>
                <w:rFonts w:hint="eastAsia" w:ascii="宋体" w:hAnsi="宋体" w:eastAsia="宋体" w:cs="宋体"/>
                <w:bCs/>
                <w:color w:val="000000" w:themeColor="text1"/>
                <w:highlight w:val="none"/>
                <w14:textFill>
                  <w14:solidFill>
                    <w14:schemeClr w14:val="tx1"/>
                  </w14:solidFill>
                </w14:textFill>
              </w:rPr>
              <w:t xml:space="preserve">，格式见招标文件第七章《投标文件相关格式》）；</w:t>
            </w:r>
            <w:r/>
          </w:p>
          <w:p>
            <w:pPr>
              <w:ind w:firstLine="480"/>
              <w:spacing w:line="40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 xml:space="preserve">5.</w:t>
            </w:r>
            <w:r>
              <w:rPr>
                <w:rFonts w:hint="eastAsia" w:ascii="宋体" w:hAnsi="宋体" w:eastAsia="宋体" w:cs="宋体"/>
                <w:bCs/>
                <w:color w:val="000000" w:themeColor="text1"/>
                <w:highlight w:val="none"/>
                <w14:textFill>
                  <w14:solidFill>
                    <w14:schemeClr w14:val="tx1"/>
                  </w14:solidFill>
                </w14:textFill>
              </w:rPr>
              <w:t xml:space="preserve">投标人参加政府采购活动前3年内在经营活动中没有重大违法记录的书面声明（加盖电子签章，格式见招标文件第七章《投标文件相关格式》）；</w:t>
            </w:r>
            <w:r/>
          </w:p>
          <w:p>
            <w:pPr>
              <w:ind w:firstLine="480"/>
              <w:spacing w:line="400" w:lineRule="exact"/>
              <w:rPr>
                <w:rFonts w:hint="eastAsia" w:ascii="宋体" w:hAnsi="宋体" w:eastAsia="宋体" w:cs="宋体"/>
                <w:bCs/>
                <w:color w:val="000000" w:themeColor="text1"/>
                <w:highlight w:val="none"/>
                <w:lang w:eastAsia="zh-CN"/>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6.投标人关于单位负责人为同一人或者存在直接控股、管理关系的不同供应商，不得参加同一合同项下的政府采购活动的承诺。（加盖电子签章，格式见招标文件第七章《投标文件相关格式》）</w:t>
            </w:r>
            <w:r>
              <w:rPr>
                <w:rFonts w:hint="eastAsia" w:ascii="宋体" w:hAnsi="宋体" w:eastAsia="宋体" w:cs="宋体"/>
                <w:bCs/>
                <w:color w:val="000000" w:themeColor="text1"/>
                <w:highlight w:val="none"/>
                <w:lang w:val="en-US" w:eastAsia="zh-CN"/>
                <w14:textFill>
                  <w14:solidFill>
                    <w14:schemeClr w14:val="tx1"/>
                  </w14:solidFill>
                </w14:textFill>
              </w:rPr>
              <w:t xml:space="preserve">；</w:t>
            </w:r>
            <w:r/>
          </w:p>
          <w:p>
            <w:pPr>
              <w:ind w:firstLine="480"/>
              <w:spacing w:line="400" w:lineRule="exact"/>
              <w:rPr>
                <w:rFonts w:hint="eastAsia"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7.投标人不是为本采购项目提供整体设计、规范编制或者项目管理、监理、检测等服务的供应商的书面声明。（加盖电子签章，格式见招标文件第七章《投标文件相关格式》）</w:t>
            </w:r>
            <w:r>
              <w:rPr>
                <w:rFonts w:hint="eastAsia" w:ascii="宋体" w:hAnsi="宋体" w:eastAsia="宋体" w:cs="宋体"/>
                <w:bCs/>
                <w:color w:val="000000" w:themeColor="text1"/>
                <w:highlight w:val="none"/>
                <w:lang w:val="en-US" w:eastAsia="zh-CN"/>
                <w14:textFill>
                  <w14:solidFill>
                    <w14:schemeClr w14:val="tx1"/>
                  </w14:solidFill>
                </w14:textFill>
              </w:rPr>
              <w:t xml:space="preserve">；</w:t>
            </w:r>
            <w:r/>
          </w:p>
          <w:p>
            <w:pPr>
              <w:ind w:firstLine="480"/>
              <w:spacing w:line="400" w:lineRule="exact"/>
              <w:rPr>
                <w:rFonts w:hint="eastAsia"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 xml:space="preserve">8.落实政府采购政策需满足的资格要求：《中小企业声明函》或监狱企业、残疾人福利性单位证明材料。（加盖电子签章，格式见招标文件第七章《投标文件相关格式》）；</w:t>
            </w:r>
            <w:r/>
          </w:p>
          <w:p>
            <w:pPr>
              <w:ind w:firstLine="480"/>
              <w:spacing w:line="40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 xml:space="preserve">9.</w:t>
            </w:r>
            <w:r>
              <w:rPr>
                <w:rFonts w:hint="eastAsia" w:ascii="宋体" w:hAnsi="宋体" w:eastAsia="宋体" w:cs="宋体"/>
                <w:bCs/>
                <w:color w:val="000000" w:themeColor="text1"/>
                <w:highlight w:val="none"/>
                <w14:textFill>
                  <w14:solidFill>
                    <w14:schemeClr w14:val="tx1"/>
                  </w14:solidFill>
                </w14:textFill>
              </w:rPr>
              <w:t xml:space="preserve">投标人无被列入失信被执行人、重大税收违法案件当事人名单、政府采购严重失信行为记录名单及其他不符合《中华人民共和国政府采购法》第二十二条规定条件的信用记录。（投标文件中无需提供证明材料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eastAsia="宋体" w:cs="宋体"/>
                <w:bCs/>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具体要求见招标文件第三章《投标资料表》项号“</w:t>
            </w:r>
            <w:r>
              <w:rPr>
                <w:rFonts w:hint="eastAsia" w:ascii="宋体" w:hAnsi="宋体" w:eastAsia="宋体" w:cs="宋体"/>
                <w:bCs/>
                <w:color w:val="000000" w:themeColor="text1"/>
                <w:highlight w:val="none"/>
                <w:lang w:val="en-US" w:eastAsia="zh-CN"/>
                <w14:textFill>
                  <w14:solidFill>
                    <w14:schemeClr w14:val="tx1"/>
                  </w14:solidFill>
                </w14:textFill>
              </w:rPr>
              <w:t xml:space="preserve">6</w:t>
            </w:r>
            <w:r>
              <w:rPr>
                <w:rFonts w:hint="eastAsia" w:ascii="宋体" w:hAnsi="宋体" w:eastAsia="宋体" w:cs="宋体"/>
                <w:bCs/>
                <w:color w:val="000000" w:themeColor="text1"/>
                <w:highlight w:val="none"/>
                <w14:textFill>
                  <w14:solidFill>
                    <w14:schemeClr w14:val="tx1"/>
                  </w14:solidFill>
                </w14:textFill>
              </w:rPr>
              <w:t xml:space="preserve">”的内容）。</w:t>
            </w:r>
            <w:r/>
          </w:p>
          <w:p>
            <w:pPr>
              <w:ind w:firstLine="482"/>
              <w:spacing w:line="400" w:lineRule="exac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highlight w:val="none"/>
                <w14:textFill>
                  <w14:solidFill>
                    <w14:schemeClr w14:val="tx1"/>
                  </w14:solidFill>
                </w14:textFill>
              </w:rPr>
              <w:t xml:space="preserve">三、符合条件（必须提供，否则投标无效）</w:t>
            </w:r>
            <w:r/>
          </w:p>
          <w:p>
            <w:pPr>
              <w:ind w:firstLine="480"/>
              <w:spacing w:line="40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bCs/>
                <w:color w:val="000000" w:themeColor="text1"/>
                <w:highlight w:val="none"/>
                <w14:textFill>
                  <w14:solidFill>
                    <w14:schemeClr w14:val="tx1"/>
                  </w14:solidFill>
                </w14:textFill>
              </w:rPr>
              <w:t xml:space="preserve">.《投标函》（加盖电子签章，格式见招标文件第七章《投标文件相关格式》）；</w:t>
            </w:r>
            <w:r/>
          </w:p>
          <w:p>
            <w:pPr>
              <w:ind w:firstLine="480"/>
              <w:spacing w:line="400" w:lineRule="exact"/>
              <w:rPr>
                <w:rFonts w:hint="eastAsia"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 xml:space="preserve">2.《采购需求符合性条件响应表》（加盖电子签章，格式见招标文件第七章《投标文件相关格式》）；</w:t>
            </w:r>
            <w:r/>
          </w:p>
          <w:p>
            <w:pPr>
              <w:ind w:firstLine="480"/>
              <w:spacing w:line="400" w:lineRule="exact"/>
              <w:rPr>
                <w:rFonts w:hint="eastAsia"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 xml:space="preserve">3.《偏离表》（加盖电子签章，格式见招标文件第七章《投标文件相关格式》）。</w:t>
            </w:r>
            <w:r/>
          </w:p>
          <w:p>
            <w:pPr>
              <w:ind w:firstLine="480"/>
              <w:keepLines w:val="0"/>
              <w:keepNext w:val="0"/>
              <w:pageBreakBefore w:val="0"/>
              <w:spacing w:line="500" w:lineRule="exact"/>
              <w:widowControl w:val="off"/>
              <w:rPr>
                <w:rFonts w:hint="eastAsia" w:ascii="宋体" w:hAnsi="宋体" w:eastAsia="宋体" w:cs="宋体"/>
                <w:bCs/>
                <w:color w:val="000000" w:themeColor="text1"/>
                <w:highlight w:val="none"/>
                <w:lang w:val="en-US" w:eastAsia="zh-CN"/>
                <w14:textFill>
                  <w14:solidFill>
                    <w14:schemeClr w14:val="tx1"/>
                  </w14:solidFill>
                </w14:textFill>
              </w:rPr>
              <w:outlineLvl w:val="9"/>
            </w:pPr>
            <w:r>
              <w:rPr>
                <w:rFonts w:hint="eastAsia" w:ascii="宋体" w:hAnsi="宋体" w:eastAsia="宋体" w:cs="宋体"/>
                <w:b/>
                <w:color w:val="000000" w:themeColor="text1"/>
                <w:highlight w:val="none"/>
                <w:lang w:val="en-US" w:eastAsia="zh-CN"/>
                <w14:textFill>
                  <w14:solidFill>
                    <w14:schemeClr w14:val="tx1"/>
                  </w14:solidFill>
                </w14:textFill>
              </w:rPr>
              <w:t xml:space="preserve">四、综合评审评分项</w:t>
            </w:r>
            <w:r/>
          </w:p>
          <w:p>
            <w:pPr>
              <w:ind w:firstLine="480"/>
              <w:spacing w:line="400" w:lineRule="exact"/>
              <w:rPr>
                <w:rFonts w:hint="eastAsia"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 xml:space="preserve">（一）技术部分</w:t>
            </w:r>
            <w:r/>
          </w:p>
          <w:p>
            <w:pPr>
              <w:ind w:firstLine="480"/>
              <w:spacing w:line="400" w:lineRule="exact"/>
              <w:rPr>
                <w:rFonts w:hint="eastAsia"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 xml:space="preserve">1.云服务技术参数响应表（要求见招标文件第六章《采购需求》）；</w:t>
            </w:r>
            <w:r/>
          </w:p>
          <w:p>
            <w:pPr>
              <w:ind w:firstLine="480"/>
              <w:spacing w:line="400" w:lineRule="exact"/>
              <w:rPr>
                <w:rFonts w:hint="eastAsia"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 xml:space="preserve">2.项目需求理解与分析（要求见招标文件第六章《采购需求》）；</w:t>
            </w:r>
            <w:r/>
          </w:p>
          <w:p>
            <w:pPr>
              <w:ind w:firstLine="480"/>
              <w:spacing w:line="400" w:lineRule="exact"/>
              <w:rPr>
                <w:rFonts w:hint="eastAsia"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 xml:space="preserve">3.总体技术方案（要求见招标文件第六章《采购需求》）；</w:t>
            </w:r>
            <w:r/>
          </w:p>
          <w:p>
            <w:pPr>
              <w:ind w:firstLine="480"/>
              <w:spacing w:line="400" w:lineRule="exact"/>
              <w:rPr>
                <w:rFonts w:hint="eastAsia"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 xml:space="preserve">4.迁移服务方案（要求见招标文件第六章《采购需求》）；</w:t>
            </w:r>
            <w:r/>
          </w:p>
          <w:p>
            <w:pPr>
              <w:ind w:firstLine="480"/>
              <w:spacing w:line="400" w:lineRule="exact"/>
              <w:rPr>
                <w:rFonts w:hint="eastAsia"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 xml:space="preserve">5.项目实施保障服务方案（要求见招标文件第六章《采购需求》）；</w:t>
            </w:r>
            <w:r/>
          </w:p>
          <w:p>
            <w:pPr>
              <w:ind w:firstLine="480"/>
              <w:spacing w:line="400" w:lineRule="exact"/>
              <w:rPr>
                <w:rFonts w:hint="eastAsia"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 xml:space="preserve">6.运营运维服务方案（要求见招标文件第六章《采购需求》）；</w:t>
            </w:r>
            <w:r/>
          </w:p>
          <w:p>
            <w:pPr>
              <w:ind w:firstLine="480"/>
              <w:spacing w:line="400" w:lineRule="exact"/>
              <w:rPr>
                <w:rFonts w:hint="eastAsia"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 xml:space="preserve">7.功能演示（要求见招标文件第四章《评标标准》）。</w:t>
            </w:r>
            <w:r/>
          </w:p>
          <w:p>
            <w:pPr>
              <w:ind w:firstLine="480"/>
              <w:spacing w:line="400" w:lineRule="exact"/>
              <w:rPr>
                <w:rFonts w:hint="eastAsia"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 xml:space="preserve">（二）商务部分</w:t>
            </w:r>
            <w:r/>
          </w:p>
          <w:p>
            <w:pPr>
              <w:ind w:firstLine="480"/>
              <w:spacing w:line="400" w:lineRule="exact"/>
              <w:rPr>
                <w:rFonts w:hint="eastAsia"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 xml:space="preserve">1.技术服务团队配置（要求见招标文件第四章《评标标准》）；</w:t>
            </w:r>
            <w:r/>
          </w:p>
          <w:p>
            <w:pPr>
              <w:ind w:firstLine="480"/>
              <w:spacing w:line="400" w:lineRule="exact"/>
              <w:rPr>
                <w:rFonts w:hint="eastAsia"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 xml:space="preserve">2.企业评价（要求见招标文件第四章《评标标准》）。</w:t>
            </w:r>
            <w:r/>
          </w:p>
          <w:p>
            <w:pPr>
              <w:ind w:firstLine="482"/>
              <w:spacing w:line="400" w:lineRule="exact"/>
              <w:rPr>
                <w:rFonts w:ascii="宋体" w:hAnsi="宋体" w:eastAsia="宋体" w:cs="宋体"/>
                <w:b/>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highlight w:val="none"/>
                <w14:textFill>
                  <w14:solidFill>
                    <w14:schemeClr w14:val="tx1"/>
                  </w14:solidFill>
                </w14:textFill>
              </w:rPr>
              <w:t xml:space="preserve">五、价格折扣文件格式</w:t>
            </w:r>
            <w:r>
              <w:rPr>
                <w:rFonts w:hint="eastAsia" w:ascii="宋体" w:hAnsi="宋体" w:eastAsia="宋体" w:cs="宋体"/>
                <w:b/>
                <w:color w:val="000000" w:themeColor="text1"/>
                <w:highlight w:val="none"/>
                <w:lang w:eastAsia="zh-CN"/>
                <w14:textFill>
                  <w14:solidFill>
                    <w14:schemeClr w14:val="tx1"/>
                  </w14:solidFill>
                </w14:textFill>
              </w:rPr>
              <w:t xml:space="preserve">：</w:t>
            </w:r>
            <w:r/>
          </w:p>
          <w:p>
            <w:pPr>
              <w:ind w:firstLine="480"/>
              <w:spacing w:line="400" w:lineRule="exact"/>
              <w:rPr>
                <w:rFonts w:hint="eastAsia"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（一）企业报价折扣证明：</w:t>
            </w:r>
            <w:r>
              <w:rPr>
                <w:rFonts w:hint="eastAsia" w:ascii="宋体" w:hAnsi="宋体" w:eastAsia="宋体" w:cs="宋体"/>
                <w:color w:val="000000" w:themeColor="text1"/>
                <w:highlight w:val="none"/>
                <w:lang w:val="en-US" w:eastAsia="zh-CN"/>
                <w14:textFill>
                  <w14:solidFill>
                    <w14:schemeClr w14:val="tx1"/>
                  </w14:solidFill>
                </w14:textFill>
              </w:rPr>
              <w:t xml:space="preserve">无</w:t>
            </w:r>
            <w:r/>
          </w:p>
          <w:p>
            <w:pPr>
              <w:ind w:firstLine="480"/>
              <w:keepLines w:val="0"/>
              <w:keepNext w:val="0"/>
              <w:pageBreakBefore w:val="0"/>
              <w:spacing w:line="240" w:lineRule="auto"/>
              <w:rPr>
                <w:rFonts w:hint="default" w:ascii="宋体" w:hAnsi="宋体" w:eastAsia="宋体" w:cs="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default" w:ascii="宋体" w:hAnsi="宋体" w:eastAsia="宋体" w:cs="宋体"/>
                <w:color w:val="000000" w:themeColor="text1"/>
                <w:highlight w:val="none"/>
                <w:lang w:val="en-US" w:eastAsia="zh-CN"/>
                <w14:textFill>
                  <w14:solidFill>
                    <w14:schemeClr w14:val="tx1"/>
                  </w14:solidFill>
                </w14:textFill>
              </w:rPr>
            </w:r>
            <w:r/>
          </w:p>
          <w:p>
            <w:pPr>
              <w:ind w:firstLine="480"/>
              <w:spacing w:line="400" w:lineRule="exact"/>
              <w:rPr>
                <w:rFonts w:hint="eastAsia" w:ascii="宋体" w:hAnsi="宋体" w:eastAsia="宋体" w:cs="宋体"/>
                <w:b/>
                <w:bCs/>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highlight w:val="none"/>
                <w:lang w:val="en-US" w:eastAsia="zh-CN"/>
                <w14:textFill>
                  <w14:solidFill>
                    <w14:schemeClr w14:val="tx1"/>
                  </w14:solidFill>
                </w14:textFill>
              </w:rPr>
              <w:t xml:space="preserve">政府采购相关政策说明：</w:t>
            </w:r>
            <w:r/>
          </w:p>
          <w:p>
            <w:pPr>
              <w:ind w:firstLine="480"/>
              <w:spacing w:line="400" w:lineRule="exact"/>
              <w:rPr>
                <w:rFonts w:hint="eastAsia" w:ascii="宋体" w:hAnsi="宋体" w:eastAsia="宋体" w:cs="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14:textFill>
                  <w14:solidFill>
                    <w14:schemeClr w14:val="tx1"/>
                  </w14:solidFill>
                </w14:textFill>
              </w:rPr>
              <w:t xml:space="preserve">（一）支持中小企业发展相关政策  </w:t>
            </w:r>
            <w:r/>
          </w:p>
          <w:p>
            <w:pPr>
              <w:pStyle w:val="1106"/>
              <w:numPr>
                <w:ilvl w:val="0"/>
                <w:numId w:val="0"/>
              </w:numPr>
              <w:ind w:right="0" w:firstLine="480"/>
              <w:rPr>
                <w:rFonts w:hint="eastAsia"/>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1.投标人提供的服务全部由符合政策要求的中小企业承接的，提供《中小企业声明函》（加盖电子签章，格式见招标文件第七章《投标文件相关格式》）。</w:t>
            </w:r>
            <w:r/>
          </w:p>
          <w:p>
            <w:pPr>
              <w:ind w:firstLine="480"/>
              <w:spacing w:line="400" w:lineRule="exact"/>
              <w:rPr>
                <w:rFonts w:hint="eastAsia" w:ascii="宋体" w:hAnsi="宋体" w:eastAsia="宋体" w:cs="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14:textFill>
                  <w14:solidFill>
                    <w14:schemeClr w14:val="tx1"/>
                  </w14:solidFill>
                </w14:textFill>
              </w:rPr>
              <w:t xml:space="preserve">本项目采购标的对应的中小企业划分标准所属行业为 ：</w:t>
            </w:r>
            <w:r>
              <w:rPr>
                <w:rFonts w:hint="eastAsia" w:ascii="宋体" w:hAnsi="宋体" w:eastAsia="宋体" w:cs="宋体"/>
                <w:b/>
                <w:bCs/>
                <w:color w:val="000000" w:themeColor="text1"/>
                <w:highlight w:val="none"/>
                <w:u w:val="single"/>
                <w:lang w:val="en-US" w:eastAsia="zh-CN"/>
                <w14:textFill>
                  <w14:solidFill>
                    <w14:schemeClr w14:val="tx1"/>
                  </w14:solidFill>
                </w14:textFill>
              </w:rPr>
              <w:t xml:space="preserve">软件和信息技术服务业</w:t>
            </w:r>
            <w:r>
              <w:rPr>
                <w:rFonts w:hint="eastAsia" w:ascii="宋体" w:hAnsi="宋体" w:eastAsia="宋体" w:cs="宋体"/>
                <w:color w:val="000000" w:themeColor="text1"/>
                <w:highlight w:val="none"/>
                <w:lang w:val="en-US" w:eastAsia="zh-CN"/>
                <w14:textFill>
                  <w14:solidFill>
                    <w14:schemeClr w14:val="tx1"/>
                  </w14:solidFill>
                </w14:textFill>
              </w:rPr>
              <w:t xml:space="preserve">，根据《中小企业划型标准规定》（工信部联企业〔2011〕300号），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400" w:lineRule="exact"/>
              <w:rPr>
                <w:rFonts w:hint="eastAsia" w:ascii="宋体" w:hAnsi="宋体" w:eastAsia="宋体" w:cs="宋体"/>
                <w:b w:val="0"/>
                <w:bCs w:val="0"/>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highlight w:val="none"/>
                <w14:textFill>
                  <w14:solidFill>
                    <w14:schemeClr w14:val="tx1"/>
                  </w14:solidFill>
                </w14:textFill>
              </w:rPr>
              <w:t xml:space="preserve">对于小型企业和微型企业的产品或服务的价格给予10%的扣除，用扣除后的价格参与评审。</w:t>
            </w:r>
            <w:r/>
          </w:p>
          <w:p>
            <w:pPr>
              <w:ind w:firstLine="480"/>
              <w:spacing w:line="400" w:lineRule="exact"/>
              <w:rPr>
                <w:rFonts w:hint="eastAsia" w:ascii="宋体" w:hAnsi="宋体" w:eastAsia="宋体" w:cs="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14:textFill>
                  <w14:solidFill>
                    <w14:schemeClr w14:val="tx1"/>
                  </w14:solidFill>
                </w14:textFill>
              </w:rPr>
              <w:t xml:space="preserve">注：具体以《政府采购促进中小企业发展管理办法》（财库[2020]46号）和《关于印发中小企业划型标准规定的通知》（工信部联企业[2011]300号）的规定为准。</w:t>
            </w:r>
            <w:r/>
          </w:p>
          <w:p>
            <w:pPr>
              <w:pStyle w:val="1106"/>
              <w:numPr>
                <w:ilvl w:val="0"/>
                <w:numId w:val="0"/>
              </w:numPr>
              <w:ind w:right="0" w:firstLine="48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2.投标人为监狱企业的，提供省级以上监狱管理局、戒毒管理局（含新疆生产建设兵团）出具的属于监狱企业的证明文件原件的扫描件。</w:t>
            </w:r>
            <w:r/>
          </w:p>
          <w:p>
            <w:pPr>
              <w:ind w:firstLine="480"/>
              <w:spacing w:line="400" w:lineRule="exact"/>
              <w:rPr>
                <w:rFonts w:hint="eastAsia" w:ascii="宋体" w:hAnsi="宋体" w:eastAsia="宋体" w:cs="宋体"/>
                <w:b w:val="0"/>
                <w:bCs w:val="0"/>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监狱企业视</w:t>
            </w:r>
            <w:r>
              <w:rPr>
                <w:rFonts w:hint="eastAsia" w:ascii="宋体" w:hAnsi="宋体" w:eastAsia="宋体" w:cs="宋体"/>
                <w:b w:val="0"/>
                <w:bCs w:val="0"/>
                <w:color w:val="000000" w:themeColor="text1"/>
                <w:highlight w:val="none"/>
                <w14:textFill>
                  <w14:solidFill>
                    <w14:schemeClr w14:val="tx1"/>
                  </w14:solidFill>
                </w14:textFill>
              </w:rPr>
              <w:t xml:space="preserve">同小型、微型企业，给予10%的扣除，用扣除后的价格参与评审。</w:t>
            </w:r>
            <w:r/>
          </w:p>
          <w:p>
            <w:pPr>
              <w:pStyle w:val="1106"/>
              <w:numPr>
                <w:ilvl w:val="0"/>
                <w:numId w:val="0"/>
              </w:numPr>
              <w:ind w:right="0" w:firstLine="48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注：具体以《财政部 司法部关于政府采购支持监狱企业发展有关问题的通知》（财库〔2014〕68号）的规定为准。</w:t>
            </w:r>
            <w:r/>
          </w:p>
          <w:p>
            <w:pPr>
              <w:pStyle w:val="1106"/>
              <w:numPr>
                <w:ilvl w:val="0"/>
                <w:numId w:val="0"/>
              </w:numPr>
              <w:ind w:right="0" w:firstLine="48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3.投标人为享受政府采购支持政策的残疾人福利性单位的，提供《残疾人福利性单位声明函》（加盖电子签章，格式见招标文件第七章《投标文件相关格式》）。</w:t>
            </w:r>
            <w:r/>
          </w:p>
          <w:p>
            <w:pPr>
              <w:pStyle w:val="1106"/>
              <w:numPr>
                <w:ilvl w:val="0"/>
                <w:numId w:val="0"/>
              </w:numPr>
              <w:ind w:right="0" w:firstLine="48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享受政府采购支持政策的残疾人福利性单位应当同时满足以下条件：</w:t>
            </w:r>
            <w:r/>
          </w:p>
          <w:p>
            <w:pPr>
              <w:pStyle w:val="1106"/>
              <w:numPr>
                <w:ilvl w:val="0"/>
                <w:numId w:val="0"/>
              </w:numPr>
              <w:ind w:right="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　　①安置的残疾人占本单位在职职工人数的比例不低于25%（含25%），并且安置的残疾人人数不少于10人（含10人）；</w:t>
            </w:r>
            <w:r/>
          </w:p>
          <w:p>
            <w:pPr>
              <w:pStyle w:val="1106"/>
              <w:numPr>
                <w:ilvl w:val="0"/>
                <w:numId w:val="0"/>
              </w:numPr>
              <w:ind w:right="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　　②依法与安置的每位残疾人签订了一年以上（含一年）的劳动合同或服务协议；</w:t>
            </w:r>
            <w:r/>
          </w:p>
          <w:p>
            <w:pPr>
              <w:pStyle w:val="1106"/>
              <w:numPr>
                <w:ilvl w:val="0"/>
                <w:numId w:val="0"/>
              </w:numPr>
              <w:ind w:right="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　　③为安置的每位残疾人按月足额缴纳了基本养老保险、基本医疗保险、失业保险、工伤保险和生育保险等社会保险费；</w:t>
            </w:r>
            <w:r/>
          </w:p>
          <w:p>
            <w:pPr>
              <w:pStyle w:val="1106"/>
              <w:numPr>
                <w:ilvl w:val="0"/>
                <w:numId w:val="0"/>
              </w:numPr>
              <w:ind w:right="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　　④通过银行等金融机构向安置的每位残疾人，按月支付了不低于单位所在区县适用的经省级人民政府批准的月最低工资标准的工资；</w:t>
            </w:r>
            <w:r/>
          </w:p>
          <w:p>
            <w:pPr>
              <w:pStyle w:val="1106"/>
              <w:numPr>
                <w:ilvl w:val="0"/>
                <w:numId w:val="0"/>
              </w:numPr>
              <w:ind w:right="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　　⑤提供本单位制造的货物、承担的工程或者服务（以下简称产品），或者提供其他残疾人福利性单位制造的货物（不包括使用非残疾人福利性单位注册商标的货物）。</w:t>
            </w:r>
            <w:r/>
          </w:p>
          <w:p>
            <w:pPr>
              <w:pStyle w:val="1106"/>
              <w:numPr>
                <w:ilvl w:val="0"/>
                <w:numId w:val="0"/>
              </w:numPr>
              <w:ind w:right="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spacing w:line="400" w:lineRule="exac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残疾人福利性单位</w:t>
            </w:r>
            <w:r>
              <w:rPr>
                <w:rFonts w:hint="eastAsia" w:ascii="宋体" w:hAnsi="宋体" w:eastAsia="宋体" w:cs="宋体"/>
                <w:color w:val="000000" w:themeColor="text1"/>
                <w:highlight w:val="none"/>
                <w:lang w:val="en-US" w:eastAsia="zh-CN"/>
                <w14:textFill>
                  <w14:solidFill>
                    <w14:schemeClr w14:val="tx1"/>
                  </w14:solidFill>
                </w14:textFill>
              </w:rPr>
              <w:t xml:space="preserve">视</w:t>
            </w:r>
            <w:r>
              <w:rPr>
                <w:rFonts w:hint="eastAsia" w:ascii="宋体" w:hAnsi="宋体" w:eastAsia="宋体" w:cs="宋体"/>
                <w:color w:val="000000" w:themeColor="text1"/>
                <w:highlight w:val="none"/>
                <w14:textFill>
                  <w14:solidFill>
                    <w14:schemeClr w14:val="tx1"/>
                  </w14:solidFill>
                </w14:textFill>
              </w:rPr>
              <w:t xml:space="preserve">同小型、微型企业，给予10%的扣除，用扣除后的价格参与评审。</w:t>
            </w:r>
            <w:r/>
          </w:p>
          <w:p>
            <w:pPr>
              <w:ind w:firstLine="480"/>
              <w:spacing w:line="400" w:lineRule="exact"/>
              <w:rPr>
                <w:rFonts w:hint="eastAsia" w:ascii="宋体" w:hAnsi="宋体" w:eastAsia="宋体" w:cs="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14:textFill>
                  <w14:solidFill>
                    <w14:schemeClr w14:val="tx1"/>
                  </w14:solidFill>
                </w14:textFill>
              </w:rPr>
              <w:t xml:space="preserve">具体以《三部门联合发布关于促进残疾人就业政府采购政策的通知》（财库〔2017〕141号）规定为准。</w:t>
            </w:r>
            <w:r/>
          </w:p>
          <w:p>
            <w:pPr>
              <w:ind w:firstLine="480"/>
              <w:spacing w:line="400" w:lineRule="exact"/>
              <w:rPr>
                <w:rFonts w:hint="eastAsia" w:cs="宋体" w:asciiTheme="minorEastAsia" w:hAnsiTheme="minorEastAsia" w:eastAsiaTheme="minorEastAsia"/>
                <w:b w:val="0"/>
                <w:bCs w:val="0"/>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eastAsia="宋体" w:cs="宋体" w:asciiTheme="minorEastAsia" w:hAnsiTheme="minorEastAsia"/>
                <w:b w:val="0"/>
                <w:bCs w:val="0"/>
                <w:color w:val="000000" w:themeColor="text1"/>
                <w:sz w:val="24"/>
                <w:highlight w:val="none"/>
                <w:lang w:val="en-US" w:eastAsia="zh-CN"/>
                <w14:textFill>
                  <w14:solidFill>
                    <w14:schemeClr w14:val="tx1"/>
                  </w14:solidFill>
                </w14:textFill>
              </w:rPr>
              <w:t xml:space="preserve">说明：</w:t>
            </w:r>
            <w:r>
              <w:rPr>
                <w:rFonts w:hint="eastAsia" w:cs="宋体" w:asciiTheme="minorEastAsia" w:hAnsiTheme="minorEastAsia" w:eastAsiaTheme="minorEastAsia"/>
                <w:b w:val="0"/>
                <w:bCs w:val="0"/>
                <w:color w:val="000000" w:themeColor="text1"/>
                <w:sz w:val="24"/>
                <w:highlight w:val="none"/>
                <w14:textFill>
                  <w14:solidFill>
                    <w14:schemeClr w14:val="tx1"/>
                  </w14:solidFill>
                </w14:textFill>
              </w:rPr>
              <w:t xml:space="preserve">残疾人福利单位、监狱企业属于小型、微型企业的，不重复享受政策。</w:t>
            </w:r>
            <w:r/>
          </w:p>
          <w:p>
            <w:pPr>
              <w:ind w:left="0" w:firstLine="482"/>
              <w:spacing w:line="400" w:lineRule="exact"/>
              <w:rPr>
                <w:rFonts w:hint="eastAsia" w:ascii="宋体" w:hAnsi="宋体" w:eastAsia="宋体" w:cs="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highlight w:val="none"/>
                <w:lang w:val="en-US" w:eastAsia="zh-CN"/>
                <w14:textFill>
                  <w14:solidFill>
                    <w14:schemeClr w14:val="tx1"/>
                  </w14:solidFill>
                </w14:textFill>
              </w:rPr>
              <w:t xml:space="preserve">注：本项目为专门面向中小企业采购的项目，</w:t>
            </w:r>
            <w:r>
              <w:rPr>
                <w:rFonts w:hint="eastAsia" w:ascii="宋体" w:hAnsi="宋体" w:eastAsia="宋体" w:cs="宋体"/>
                <w:b/>
                <w:color w:val="000000" w:themeColor="text1"/>
                <w:highlight w:val="none"/>
                <w14:textFill>
                  <w14:solidFill>
                    <w14:schemeClr w14:val="tx1"/>
                  </w14:solidFill>
                </w14:textFill>
              </w:rPr>
              <w:t xml:space="preserve">评审时</w:t>
            </w:r>
            <w:r>
              <w:rPr>
                <w:rFonts w:hint="eastAsia" w:ascii="宋体" w:hAnsi="宋体" w:eastAsia="宋体" w:cs="宋体"/>
                <w:b/>
                <w:color w:val="000000" w:themeColor="text1"/>
                <w:highlight w:val="none"/>
                <w:lang w:val="en-US" w:eastAsia="zh-CN"/>
                <w14:textFill>
                  <w14:solidFill>
                    <w14:schemeClr w14:val="tx1"/>
                  </w14:solidFill>
                </w14:textFill>
              </w:rPr>
              <w:t xml:space="preserve">不再执行该项价格评审优惠政策。</w:t>
            </w:r>
            <w:r/>
          </w:p>
          <w:p>
            <w:pPr>
              <w:ind w:firstLine="480"/>
              <w:spacing w:line="400" w:lineRule="exact"/>
              <w:rPr>
                <w:rFonts w:hint="eastAsia" w:ascii="宋体" w:hAnsi="宋体" w:eastAsia="宋体" w:cs="宋体"/>
                <w:b w:val="0"/>
                <w:bCs w:val="0"/>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二</w:t>
            </w:r>
            <w:r>
              <w:rPr>
                <w:rFonts w:hint="eastAsia" w:ascii="宋体" w:hAnsi="宋体" w:eastAsia="宋体" w:cs="宋体"/>
                <w:b w:val="0"/>
                <w:bCs w:val="0"/>
                <w:color w:val="000000" w:themeColor="text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严格落实</w:t>
            </w:r>
            <w:r>
              <w:rPr>
                <w:rFonts w:hint="eastAsia" w:ascii="宋体" w:hAnsi="宋体" w:eastAsia="宋体" w:cs="宋体"/>
                <w:b w:val="0"/>
                <w:bCs w:val="0"/>
                <w:color w:val="000000" w:themeColor="text1"/>
                <w:highlight w:val="none"/>
                <w14:textFill>
                  <w14:solidFill>
                    <w14:schemeClr w14:val="tx1"/>
                  </w14:solidFill>
                </w14:textFill>
              </w:rPr>
              <w:t xml:space="preserve">节能、</w:t>
            </w: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环保产品政策</w:t>
            </w:r>
            <w:r/>
          </w:p>
          <w:p>
            <w:pPr>
              <w:ind w:firstLine="480"/>
              <w:spacing w:line="400" w:lineRule="exac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若本次采购的产品属于财政部、国家发展改革委、生态环境部、市场监管总局等部门发布的节能产品、环境标志产品政府强制采购品目清单的，供应商须在投标文件中提供所投产品由认证机构出具的、处于有效期之内的节能产品、环境标志产品认证证书，未提供或提供不全的将视投标文件为未实质性响应采购要求。</w:t>
            </w:r>
            <w:r/>
          </w:p>
          <w:p>
            <w:pPr>
              <w:ind w:firstLine="480"/>
              <w:spacing w:line="400" w:lineRule="exac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若本次采购的产品属于财政部、国家发展改革委、生态环境部、市场监管总局等部门发布的节能产品、环境标志产品政府优先采购品目清单的，供应商在投标文件中提供所投产品由认证机构出具的、处于有效期之内的节能产品、环境标志产品认证证书。</w:t>
            </w:r>
            <w:r/>
          </w:p>
          <w:p>
            <w:pPr>
              <w:ind w:firstLine="480"/>
              <w:spacing w:line="400" w:lineRule="exac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节能产品</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环境标志产品认证证书是否符合要求，采购人评标时查询中国政府采购网（www.ccgp.gov.cn）相关内容后确定。</w:t>
            </w:r>
            <w:r/>
          </w:p>
          <w:p>
            <w:pPr>
              <w:ind w:firstLine="480"/>
              <w:spacing w:line="400" w:lineRule="exact"/>
              <w:rPr>
                <w:rFonts w:hint="default" w:ascii="宋体" w:hAnsi="宋体" w:eastAsia="宋体" w:cs="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14:textFill>
                  <w14:solidFill>
                    <w14:schemeClr w14:val="tx1"/>
                  </w14:solidFill>
                </w14:textFill>
              </w:rPr>
              <w:t xml:space="preserve">（三）严格执行</w:t>
            </w:r>
            <w:r>
              <w:rPr>
                <w:rFonts w:hint="eastAsia" w:ascii="宋体" w:hAnsi="宋体" w:eastAsia="宋体" w:cs="宋体"/>
                <w:color w:val="000000" w:themeColor="text1"/>
                <w:highlight w:val="none"/>
                <w14:textFill>
                  <w14:solidFill>
                    <w14:schemeClr w14:val="tx1"/>
                  </w14:solidFill>
                </w14:textFill>
              </w:rPr>
              <w:t xml:space="preserve">绿色</w:t>
            </w:r>
            <w:r>
              <w:rPr>
                <w:rFonts w:hint="eastAsia" w:ascii="宋体" w:hAnsi="宋体" w:eastAsia="宋体" w:cs="宋体"/>
                <w:color w:val="000000" w:themeColor="text1"/>
                <w:highlight w:val="none"/>
                <w:lang w:val="en-US" w:eastAsia="zh-CN"/>
                <w14:textFill>
                  <w14:solidFill>
                    <w14:schemeClr w14:val="tx1"/>
                  </w14:solidFill>
                </w14:textFill>
              </w:rPr>
              <w:t xml:space="preserve">包装标准</w:t>
            </w:r>
            <w:r>
              <w:rPr>
                <w:rFonts w:hint="eastAsia" w:ascii="宋体" w:hAnsi="宋体" w:eastAsia="宋体" w:cs="宋体"/>
                <w:color w:val="000000" w:themeColor="text1"/>
                <w:highlight w:val="none"/>
                <w14:textFill>
                  <w14:solidFill>
                    <w14:schemeClr w14:val="tx1"/>
                  </w14:solidFill>
                </w14:textFill>
              </w:rPr>
              <w:t xml:space="preserve">。</w:t>
            </w:r>
            <w:r/>
          </w:p>
          <w:p>
            <w:pPr>
              <w:ind w:firstLine="480"/>
              <w:spacing w:line="400" w:lineRule="exact"/>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14:textFill>
                  <w14:solidFill>
                    <w14:schemeClr w14:val="tx1"/>
                  </w14:solidFill>
                </w14:textFill>
              </w:rPr>
              <w:t xml:space="preserve">本项目中涉及商品包装和快递包装的，</w:t>
            </w:r>
            <w:r>
              <w:rPr>
                <w:rFonts w:hint="eastAsia" w:ascii="宋体" w:hAnsi="宋体" w:eastAsia="宋体" w:cs="宋体"/>
                <w:color w:val="000000" w:themeColor="text1"/>
                <w:highlight w:val="none"/>
                <w14:textFill>
                  <w14:solidFill>
                    <w14:schemeClr w14:val="tx1"/>
                  </w14:solidFill>
                </w14:textFill>
              </w:rPr>
              <w:t xml:space="preserve">严格执</w:t>
            </w:r>
            <w:r>
              <w:rPr>
                <w:rFonts w:hint="eastAsia" w:ascii="宋体" w:hAnsi="宋体" w:eastAsia="宋体" w:cs="宋体"/>
                <w:color w:val="000000" w:themeColor="text1"/>
                <w:highlight w:val="none"/>
                <w:lang w:val="en-US" w:eastAsia="zh-CN"/>
                <w14:textFill>
                  <w14:solidFill>
                    <w14:schemeClr w14:val="tx1"/>
                  </w14:solidFill>
                </w14:textFill>
              </w:rPr>
              <w:t xml:space="preserve">行</w:t>
            </w:r>
            <w:r>
              <w:rPr>
                <w:rFonts w:hint="eastAsia" w:ascii="宋体" w:hAnsi="宋体" w:eastAsia="宋体" w:cs="宋体"/>
                <w:color w:val="000000" w:themeColor="text1"/>
                <w:highlight w:val="none"/>
                <w14:textFill>
                  <w14:solidFill>
                    <w14:schemeClr w14:val="tx1"/>
                  </w14:solidFill>
                </w14:textFill>
              </w:rPr>
              <w:t xml:space="preserve">《商品包装政府采购需求标准（试行）》《快递包装政府采购需求标准（试行）〉》（财办库〔2020〕123号）</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80"/>
              <w:spacing w:line="400" w:lineRule="exact"/>
              <w:rPr>
                <w:rFonts w:hint="default" w:ascii="宋体" w:hAnsi="宋体" w:eastAsia="宋体" w:cs="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四</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严格执行绿色数据中心标准。</w:t>
            </w:r>
            <w:r/>
          </w:p>
          <w:p>
            <w:pPr>
              <w:ind w:firstLine="480"/>
              <w:spacing w:line="400" w:lineRule="exact"/>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14:textFill>
                  <w14:solidFill>
                    <w14:schemeClr w14:val="tx1"/>
                  </w14:solidFill>
                </w14:textFill>
              </w:rPr>
              <w:t xml:space="preserve">本项目中如有涉及数据中心相关设备、运维服务的，严格执行《绿色数据中心政府采购需求标准（试行）》</w:t>
            </w:r>
            <w:r>
              <w:rPr>
                <w:rFonts w:hint="eastAsia" w:ascii="宋体" w:hAnsi="宋体" w:eastAsia="宋体" w:cs="宋体"/>
                <w:color w:val="000000" w:themeColor="text1"/>
                <w:highlight w:val="none"/>
                <w14:textFill>
                  <w14:solidFill>
                    <w14:schemeClr w14:val="tx1"/>
                  </w14:solidFill>
                </w14:textFill>
              </w:rPr>
              <w:t xml:space="preserve">（财库〔2023〕7号）需求标准</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80"/>
              <w:spacing w:line="400" w:lineRule="exact"/>
              <w:rPr>
                <w:rFonts w:hint="eastAsia" w:ascii="宋体" w:hAnsi="宋体" w:eastAsia="宋体" w:cs="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五）落实挥发性有机化合物（VOCs）治理要求。</w:t>
            </w:r>
            <w:r/>
          </w:p>
          <w:p>
            <w:pPr>
              <w:ind w:firstLine="480"/>
              <w:spacing w:line="400" w:lineRule="exact"/>
              <w:rPr>
                <w:rFonts w:hint="eastAsia" w:ascii="宋体" w:hAnsi="宋体" w:eastAsia="宋体" w:cs="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14:textFill>
                  <w14:solidFill>
                    <w14:schemeClr w14:val="tx1"/>
                  </w14:solidFill>
                </w14:textFill>
              </w:rPr>
              <w:t xml:space="preserve">本项目中如有涉及涂料、胶黏剂、油墨、清洗剂等挥发性有机物产品的，属于强制性标准的，供应商应当执行国家和我省VOCs含量限制标准；属于推荐性标准的，供应商应当优先使用低挥发性原辅材料。</w:t>
            </w:r>
            <w:r/>
          </w:p>
          <w:p>
            <w:pPr>
              <w:ind w:firstLine="480"/>
              <w:spacing w:line="400" w:lineRule="exact"/>
              <w:rPr>
                <w:rFonts w:hint="eastAsia" w:ascii="宋体" w:hAnsi="宋体" w:eastAsia="宋体" w:cs="宋体"/>
                <w:b w:val="0"/>
                <w:bCs w:val="0"/>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14:textFill>
                  <w14:solidFill>
                    <w14:schemeClr w14:val="tx1"/>
                  </w14:solidFill>
                </w14:textFill>
              </w:rPr>
              <w:t xml:space="preserve">（六）</w:t>
            </w: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本项目中如有被列入《网络关键设备和网络安全专用产品目录》的网络安全专用产品，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或</w:t>
            </w:r>
            <w:r>
              <w:rPr>
                <w:rFonts w:hint="eastAsia" w:ascii="宋体" w:hAnsi="宋体" w:eastAsia="宋体" w:cs="宋体"/>
                <w:b w:val="0"/>
                <w:bCs w:val="0"/>
                <w:color w:val="000000" w:themeColor="text1"/>
                <w:szCs w:val="24"/>
                <w:highlight w:val="none"/>
                <w14:textFill>
                  <w14:solidFill>
                    <w14:schemeClr w14:val="tx1"/>
                  </w14:solidFill>
                </w14:textFill>
              </w:rPr>
              <w:t xml:space="preserve">已经获得《计算机信息系统安全专用产品销售许可证》</w:t>
            </w:r>
            <w:r>
              <w:rPr>
                <w:rFonts w:hint="eastAsia" w:ascii="宋体" w:hAnsi="宋体" w:eastAsia="宋体" w:cs="宋体"/>
                <w:b w:val="0"/>
                <w:bCs w:val="0"/>
                <w:color w:val="000000" w:themeColor="text1"/>
                <w:szCs w:val="24"/>
                <w:highlight w:val="none"/>
                <w:lang w:val="en-US" w:eastAsia="zh-CN"/>
                <w14:textFill>
                  <w14:solidFill>
                    <w14:schemeClr w14:val="tx1"/>
                  </w14:solidFill>
                </w14:textFill>
              </w:rPr>
              <w:t xml:space="preserve">且在有效期内</w:t>
            </w: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，方可销售或者提供。</w:t>
            </w:r>
            <w:r/>
          </w:p>
          <w:p>
            <w:pPr>
              <w:ind w:firstLine="480"/>
              <w:spacing w:line="400" w:lineRule="exact"/>
              <w:rPr>
                <w:rFonts w:hint="eastAsia" w:ascii="宋体" w:hAnsi="宋体" w:eastAsia="宋体" w:cs="宋体"/>
                <w:b w:val="0"/>
                <w:bCs w:val="0"/>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（七）采购本国产品的支持政策</w:t>
            </w:r>
            <w:r/>
          </w:p>
          <w:p>
            <w:pPr>
              <w:ind w:firstLine="480"/>
              <w:spacing w:line="400" w:lineRule="exact"/>
              <w:rPr>
                <w:rFonts w:hint="eastAsia" w:ascii="宋体" w:hAnsi="宋体" w:eastAsia="宋体" w:cs="宋体"/>
                <w:b w:val="0"/>
                <w:bCs w:val="0"/>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1.本项目政府采购活动中既有本国产品又有非本国产品参与竞争的，依法对本国产品给予价格评审优惠，对本国产品的报价给予</w:t>
            </w:r>
            <w:r>
              <w:rPr>
                <w:rFonts w:hint="eastAsia" w:ascii="宋体" w:hAnsi="宋体" w:eastAsia="宋体" w:cs="宋体"/>
                <w:b w:val="0"/>
                <w:bCs w:val="0"/>
                <w:strike w:val="0"/>
                <w:color w:val="000000" w:themeColor="text1"/>
                <w:highlight w:val="none"/>
                <w:u w:val="single"/>
                <w:lang w:val="en-US" w:eastAsia="zh-CN"/>
                <w14:textFill>
                  <w14:solidFill>
                    <w14:schemeClr w14:val="tx1"/>
                  </w14:solidFill>
                </w14:textFill>
              </w:rPr>
              <w:t xml:space="preserve"> 20% </w:t>
            </w: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的价格扣除，用扣除后的价格参与评审。</w:t>
            </w:r>
            <w:r/>
          </w:p>
          <w:p>
            <w:pPr>
              <w:ind w:firstLine="480"/>
              <w:spacing w:line="400" w:lineRule="exact"/>
              <w:rPr>
                <w:rFonts w:hint="eastAsia" w:ascii="宋体" w:hAnsi="宋体" w:eastAsia="宋体" w:cs="宋体"/>
                <w:b w:val="0"/>
                <w:bCs w:val="0"/>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val="0"/>
                <w:bCs w:val="0"/>
                <w:strike w:val="0"/>
                <w:color w:val="000000" w:themeColor="text1"/>
                <w:highlight w:val="none"/>
                <w:u w:val="single"/>
                <w:lang w:val="en-US" w:eastAsia="zh-CN"/>
                <w14:textFill>
                  <w14:solidFill>
                    <w14:schemeClr w14:val="tx1"/>
                  </w14:solidFill>
                </w14:textFill>
              </w:rPr>
              <w:t xml:space="preserve"> 80% </w:t>
            </w: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以上时（供应商需在“第七章 投标文件格式”的“附件3分项价格表”中填写比例数值），依法对该供应商提供的全部产品给予价格评审优惠，即对该供应商提供的全部产品的总报价给予</w:t>
            </w:r>
            <w:r>
              <w:rPr>
                <w:rFonts w:hint="eastAsia" w:ascii="宋体" w:hAnsi="宋体" w:eastAsia="宋体" w:cs="宋体"/>
                <w:b w:val="0"/>
                <w:bCs w:val="0"/>
                <w:strike w:val="0"/>
                <w:color w:val="000000" w:themeColor="text1"/>
                <w:highlight w:val="none"/>
                <w:u w:val="single"/>
                <w:lang w:val="en-US" w:eastAsia="zh-CN"/>
                <w14:textFill>
                  <w14:solidFill>
                    <w14:schemeClr w14:val="tx1"/>
                  </w14:solidFill>
                </w14:textFill>
              </w:rPr>
              <w:t xml:space="preserve"> 20% </w:t>
            </w: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的价格扣除，用扣除后的价格参与评审。供应商未填写比例数值，或比例数值未达到</w:t>
            </w:r>
            <w:r>
              <w:rPr>
                <w:rFonts w:hint="eastAsia" w:ascii="宋体" w:hAnsi="宋体" w:eastAsia="宋体" w:cs="宋体"/>
                <w:b w:val="0"/>
                <w:bCs w:val="0"/>
                <w:strike w:val="0"/>
                <w:color w:val="000000" w:themeColor="text1"/>
                <w:highlight w:val="none"/>
                <w:u w:val="single"/>
                <w:lang w:val="en-US" w:eastAsia="zh-CN"/>
                <w14:textFill>
                  <w14:solidFill>
                    <w14:schemeClr w14:val="tx1"/>
                  </w14:solidFill>
                </w14:textFill>
              </w:rPr>
              <w:t xml:space="preserve"> 80% </w:t>
            </w: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的，将不享受本国产品价格评审优惠。</w:t>
            </w:r>
            <w:r/>
          </w:p>
          <w:p>
            <w:pPr>
              <w:ind w:firstLine="480"/>
              <w:spacing w:line="400" w:lineRule="exact"/>
              <w:rPr>
                <w:rFonts w:hint="eastAsia" w:ascii="宋体" w:hAnsi="宋体" w:eastAsia="宋体" w:cs="宋体"/>
                <w:b w:val="0"/>
                <w:bCs w:val="0"/>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3.供应商需按照招标文件的要求提供《关于符合本国产品标准的声明函》（以下简称《声明函》），如不提供将不享受本国产品价格评审优惠。</w:t>
            </w:r>
            <w:r/>
          </w:p>
          <w:p>
            <w:pPr>
              <w:ind w:firstLine="480"/>
              <w:spacing w:line="400" w:lineRule="exact"/>
              <w:rPr>
                <w:rFonts w:hint="eastAsia" w:ascii="宋体" w:hAnsi="宋体" w:eastAsia="宋体" w:cs="宋体"/>
                <w:b w:val="0"/>
                <w:bCs w:val="0"/>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供应商需在《声明函》中逐一、准确填写产品名称、厂名、生产厂址三项信息（</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《声明函》中标注</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的地方无需填写</w:t>
            </w:r>
            <w:r>
              <w:rPr>
                <w:rFonts w:hint="eastAsia" w:ascii="宋体" w:hAnsi="宋体" w:eastAsia="宋体" w:cs="宋体"/>
                <w:color w:val="000000" w:themeColor="text1"/>
                <w:sz w:val="24"/>
                <w:szCs w:val="24"/>
                <w:highlight w:val="none"/>
                <w14:textFill>
                  <w14:solidFill>
                    <w14:schemeClr w14:val="tx1"/>
                  </w14:solidFill>
                </w14:textFill>
              </w:rPr>
              <w:t xml:space="preserve">），三项信息中任意一项未填写的视为该项产品不符合本国产品标准，不享受本国产品价格评审优惠</w:t>
            </w:r>
            <w:r/>
          </w:p>
          <w:p>
            <w:pPr>
              <w:ind w:firstLine="480"/>
              <w:spacing w:line="400" w:lineRule="exact"/>
              <w:rPr>
                <w:rFonts w:hint="eastAsia" w:ascii="宋体" w:hAnsi="宋体" w:eastAsia="宋体" w:cs="宋体"/>
                <w:b w:val="0"/>
                <w:bCs w:val="0"/>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right="0" w:firstLine="484"/>
              <w:keepLines w:val="0"/>
              <w:keepNext w:val="0"/>
              <w:pageBreakBefore w:val="0"/>
              <w:spacing w:line="400" w:lineRule="exact"/>
              <w:tabs>
                <w:tab w:val="left" w:pos="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（说明：1.</w:t>
            </w:r>
            <w:r>
              <w:rPr>
                <w:rFonts w:hint="eastAsia" w:ascii="宋体" w:hAnsi="宋体" w:eastAsia="宋体" w:cs="宋体"/>
                <w:color w:val="000000" w:themeColor="text1"/>
                <w:sz w:val="24"/>
                <w:szCs w:val="24"/>
                <w:highlight w:val="none"/>
                <w:lang w:val="en-GB"/>
                <w14:textFill>
                  <w14:solidFill>
                    <w14:schemeClr w14:val="tx1"/>
                  </w14:solidFill>
                </w14:textFill>
              </w:rPr>
              <w:t xml:space="preserve">本国产品标准适用于货物</w:t>
            </w:r>
            <w:r>
              <w:rPr>
                <w:rFonts w:hint="eastAsia" w:ascii="宋体" w:hAnsi="宋体" w:eastAsia="宋体" w:cs="宋体"/>
                <w:color w:val="000000" w:themeColor="text1"/>
                <w:sz w:val="24"/>
                <w:szCs w:val="24"/>
                <w:highlight w:val="none"/>
                <w:lang w:val="en-GB"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GB"/>
                <w14:textFill>
                  <w14:solidFill>
                    <w14:schemeClr w14:val="tx1"/>
                  </w14:solidFill>
                </w14:textFill>
              </w:rPr>
              <w:t xml:space="preserve">包括政府采购货物项目和服务项目中涉及的货物</w:t>
            </w:r>
            <w:r>
              <w:rPr>
                <w:rFonts w:hint="eastAsia" w:ascii="宋体" w:hAnsi="宋体" w:eastAsia="宋体" w:cs="宋体"/>
                <w:color w:val="000000" w:themeColor="text1"/>
                <w:sz w:val="24"/>
                <w:szCs w:val="24"/>
                <w:highlight w:val="none"/>
                <w:lang w:val="en-GB"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GB"/>
                <w14:textFill>
                  <w14:solidFill>
                    <w14:schemeClr w14:val="tx1"/>
                  </w14:solidFill>
                </w14:textFill>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GB"/>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right="0" w:firstLine="484"/>
              <w:keepLines w:val="0"/>
              <w:keepNext w:val="0"/>
              <w:pageBreakBefore w:val="0"/>
              <w:spacing w:line="400" w:lineRule="exact"/>
              <w:tabs>
                <w:tab w:val="left" w:pos="0" w:leader="none"/>
              </w:tabs>
              <w:rPr>
                <w:rFonts w:hint="eastAsia" w:ascii="宋体" w:hAnsi="宋体" w:eastAsia="宋体" w:cs="宋体"/>
                <w:color w:val="000000" w:themeColor="text1"/>
                <w:sz w:val="24"/>
                <w:szCs w:val="24"/>
                <w:highlight w:val="none"/>
                <w:lang w:val="en-GB"/>
                <w14:textFill>
                  <w14:solidFill>
                    <w14:schemeClr w14:val="tx1"/>
                  </w14:solidFill>
                </w14:textFill>
              </w:rPr>
            </w:pPr>
            <w:r>
              <w:rPr>
                <w:rFonts w:hint="eastAsia" w:ascii="宋体" w:hAnsi="宋体" w:eastAsia="宋体" w:cs="宋体"/>
                <w:color w:val="000000" w:themeColor="text1"/>
                <w:sz w:val="24"/>
                <w:szCs w:val="24"/>
                <w:highlight w:val="none"/>
                <w:lang w:val="en-GB"/>
                <w14:textFill>
                  <w14:solidFill>
                    <w14:schemeClr w14:val="tx1"/>
                  </w14:solidFill>
                </w14:textFill>
              </w:rPr>
              <w:t xml:space="preserve">注：</w:t>
            </w:r>
            <w:r/>
          </w:p>
          <w:p>
            <w:pPr>
              <w:ind w:right="0" w:firstLine="484"/>
              <w:keepLines w:val="0"/>
              <w:keepNext w:val="0"/>
              <w:pageBreakBefore w:val="0"/>
              <w:spacing w:line="400" w:lineRule="exact"/>
              <w:tabs>
                <w:tab w:val="left" w:pos="0" w:leader="none"/>
              </w:tabs>
              <w:rPr>
                <w:rFonts w:hint="eastAsia" w:ascii="宋体" w:hAnsi="宋体" w:eastAsia="宋体" w:cs="宋体"/>
                <w:color w:val="000000" w:themeColor="text1"/>
                <w:sz w:val="24"/>
                <w:szCs w:val="24"/>
                <w:highlight w:val="none"/>
                <w:lang w:val="en-GB"/>
                <w14:textFill>
                  <w14:solidFill>
                    <w14:schemeClr w14:val="tx1"/>
                  </w14:solidFill>
                </w14:textFill>
              </w:rPr>
            </w:pPr>
            <w:r>
              <w:rPr>
                <w:rFonts w:hint="eastAsia" w:ascii="宋体" w:hAnsi="宋体" w:eastAsia="宋体" w:cs="宋体"/>
                <w:color w:val="000000" w:themeColor="text1"/>
                <w:sz w:val="24"/>
                <w:szCs w:val="24"/>
                <w:highlight w:val="none"/>
                <w:lang w:val="en-GB"/>
                <w14:textFill>
                  <w14:solidFill>
                    <w14:schemeClr w14:val="tx1"/>
                  </w14:solidFill>
                </w14:textFill>
              </w:rPr>
              <w:t xml:space="preserve">1.投标人应对以上文件的合法性、真实性负责。</w:t>
            </w:r>
            <w:r/>
          </w:p>
          <w:p>
            <w:pPr>
              <w:ind w:right="0" w:firstLine="484"/>
              <w:keepLines w:val="0"/>
              <w:keepNext w:val="0"/>
              <w:pageBreakBefore w:val="0"/>
              <w:spacing w:line="400" w:lineRule="exact"/>
              <w:tabs>
                <w:tab w:val="left" w:pos="0" w:leader="none"/>
              </w:tabs>
              <w:rPr>
                <w:rFonts w:hint="eastAsia" w:ascii="宋体" w:hAnsi="宋体" w:cs="宋体"/>
                <w:bCs/>
                <w:color w:val="000000" w:themeColor="text1"/>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GB"/>
                <w14:textFill>
                  <w14:solidFill>
                    <w14:schemeClr w14:val="tx1"/>
                  </w14:solidFill>
                </w14:textFill>
              </w:rPr>
              <w:t xml:space="preserve">2.签订合同前，中标人必须向</w:t>
            </w:r>
            <w:r>
              <w:rPr>
                <w:rFonts w:hint="eastAsia" w:ascii="宋体" w:hAnsi="宋体" w:eastAsia="宋体" w:cs="宋体"/>
                <w:color w:val="000000" w:themeColor="text1"/>
                <w:sz w:val="24"/>
                <w:szCs w:val="24"/>
                <w:highlight w:val="none"/>
                <w:lang w:val="en-GB"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lang w:val="en-GB"/>
                <w14:textFill>
                  <w14:solidFill>
                    <w14:schemeClr w14:val="tx1"/>
                  </w14:solidFill>
                </w14:textFill>
              </w:rPr>
              <w:t xml:space="preserve">提交其投标文件中所有扫描件的原件，</w:t>
            </w:r>
            <w:r>
              <w:rPr>
                <w:rFonts w:hint="eastAsia" w:ascii="宋体" w:hAnsi="宋体" w:eastAsia="宋体" w:cs="宋体"/>
                <w:color w:val="000000" w:themeColor="text1"/>
                <w:sz w:val="24"/>
                <w:szCs w:val="24"/>
                <w:highlight w:val="none"/>
                <w:lang w:val="en-GB"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lang w:val="en-GB"/>
                <w14:textFill>
                  <w14:solidFill>
                    <w14:schemeClr w14:val="tx1"/>
                  </w14:solidFill>
                </w14:textFill>
              </w:rPr>
              <w:t xml:space="preserve">核查（核对）无误后，签订合同。如中标人不能在</w:t>
            </w:r>
            <w:r>
              <w:rPr>
                <w:rFonts w:hint="eastAsia" w:ascii="宋体" w:hAnsi="宋体" w:eastAsia="宋体" w:cs="宋体"/>
                <w:color w:val="000000" w:themeColor="text1"/>
                <w:sz w:val="24"/>
                <w:szCs w:val="24"/>
                <w:highlight w:val="none"/>
                <w:lang w:val="en-GB"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lang w:val="en-GB"/>
                <w14:textFill>
                  <w14:solidFill>
                    <w14:schemeClr w14:val="tx1"/>
                  </w14:solidFill>
                </w14:textFill>
              </w:rPr>
              <w:t xml:space="preserve">规定的时间内向采</w:t>
            </w:r>
            <w:r>
              <w:rPr>
                <w:rFonts w:hint="eastAsia" w:ascii="宋体" w:hAnsi="宋体" w:eastAsia="宋体" w:cs="宋体"/>
                <w:color w:val="000000" w:themeColor="text1"/>
                <w:highlight w:val="none"/>
                <w14:textFill>
                  <w14:solidFill>
                    <w14:schemeClr w14:val="tx1"/>
                  </w14:solidFill>
                </w14:textFill>
              </w:rPr>
              <w:t xml:space="preserve">购人提供原件，将被</w:t>
            </w:r>
            <w:r>
              <w:rPr>
                <w:rFonts w:hint="eastAsia" w:ascii="宋体" w:hAnsi="宋体" w:eastAsia="宋体" w:cs="宋体"/>
                <w:color w:val="000000" w:themeColor="text1"/>
                <w:highlight w:val="none"/>
                <w:lang w:eastAsia="zh-CN"/>
                <w14:textFill>
                  <w14:solidFill>
                    <w14:schemeClr w14:val="tx1"/>
                  </w14:solidFill>
                </w14:textFill>
              </w:rPr>
              <w:t xml:space="preserve">采购人</w:t>
            </w:r>
            <w:r>
              <w:rPr>
                <w:rFonts w:hint="eastAsia" w:ascii="宋体" w:hAnsi="宋体" w:eastAsia="宋体" w:cs="宋体"/>
                <w:color w:val="000000" w:themeColor="text1"/>
                <w:highlight w:val="none"/>
                <w14:textFill>
                  <w14:solidFill>
                    <w14:schemeClr w14:val="tx1"/>
                  </w14:solidFill>
                </w14:textFill>
              </w:rPr>
              <w:t xml:space="preserve">认定为具有《中华人民共和国政府采购法》第七十七条所规定的“提供虚假材料谋取中标、成交的”情形，并承担相应的法律责任。特别要求的除外。</w:t>
            </w:r>
            <w:r/>
          </w:p>
        </w:tc>
      </w:tr>
      <w:tr>
        <w:trPr/>
        <w:tc>
          <w:tcPr>
            <w:tcW w:w="1246"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13.2</w:t>
            </w:r>
            <w:r/>
          </w:p>
        </w:tc>
        <w:tc>
          <w:tcPr>
            <w:tcW w:w="8386" w:type="dxa"/>
            <w:vAlign w:val="top"/>
            <w:textDirection w:val="lrTb"/>
            <w:noWrap w:val="false"/>
          </w:tcPr>
          <w:p>
            <w:pPr>
              <w:ind w:firstLine="480"/>
              <w:spacing w:line="40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商务条件见：</w:t>
            </w:r>
            <w:r/>
          </w:p>
          <w:p>
            <w:pPr>
              <w:ind w:firstLine="480"/>
              <w:spacing w:line="40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1.招标文件第四章《评标标准》</w:t>
            </w:r>
            <w:r>
              <w:rPr>
                <w:rFonts w:hint="eastAsia" w:ascii="宋体" w:hAnsi="宋体" w:eastAsia="宋体" w:cs="宋体"/>
                <w:bCs/>
                <w:color w:val="000000" w:themeColor="text1"/>
                <w:highlight w:val="none"/>
                <w14:textFill>
                  <w14:solidFill>
                    <w14:schemeClr w14:val="tx1"/>
                  </w14:solidFill>
                </w14:textFill>
              </w:rPr>
              <w:t xml:space="preserve">中的《评审细则》</w:t>
            </w:r>
            <w:r/>
          </w:p>
          <w:p>
            <w:pPr>
              <w:ind w:firstLine="480"/>
              <w:spacing w:line="40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2.招标文件第三章《投标资料表》中12.1和12.2</w:t>
            </w:r>
            <w:r/>
          </w:p>
        </w:tc>
      </w:tr>
      <w:tr>
        <w:trPr>
          <w:trHeight w:val="454"/>
        </w:trPr>
        <w:tc>
          <w:tcPr>
            <w:tcW w:w="1246"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13.3</w:t>
            </w:r>
            <w:r/>
          </w:p>
        </w:tc>
        <w:tc>
          <w:tcPr>
            <w:tcW w:w="8386" w:type="dxa"/>
            <w:vAlign w:val="top"/>
            <w:textDirection w:val="lrTb"/>
            <w:noWrap w:val="false"/>
          </w:tcPr>
          <w:p>
            <w:pPr>
              <w:ind w:firstLine="480"/>
              <w:spacing w:line="40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交货和提供服务的时间见：招标文件第五章 《拟签订的合同文本》及招标文件第六章《采购需求》。</w:t>
            </w:r>
            <w:r/>
          </w:p>
        </w:tc>
      </w:tr>
      <w:tr>
        <w:trPr/>
        <w:tc>
          <w:tcPr>
            <w:tcW w:w="1246"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14.6</w:t>
            </w:r>
            <w:r/>
          </w:p>
        </w:tc>
        <w:tc>
          <w:tcPr>
            <w:tcW w:w="8386" w:type="dxa"/>
            <w:vAlign w:val="top"/>
            <w:textDirection w:val="lrTb"/>
            <w:noWrap w:val="false"/>
          </w:tcPr>
          <w:p>
            <w:pPr>
              <w:ind w:left="0" w:firstLine="480"/>
              <w:spacing w:line="400" w:lineRule="exact"/>
              <w:widowControl/>
              <w:rPr>
                <w:rFonts w:hint="eastAsia" w:eastAsia="宋体"/>
                <w:color w:val="000000" w:themeColor="text1"/>
                <w:highlight w:val="none"/>
                <w:lang w:eastAsia="zh-CN"/>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采购项目预算金额</w:t>
            </w: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：440</w:t>
            </w:r>
            <w:r>
              <w:rPr>
                <w:rFonts w:hint="eastAsia" w:ascii="宋体" w:hAnsi="宋体" w:eastAsia="宋体" w:cs="宋体"/>
                <w:b w:val="0"/>
                <w:bCs w:val="0"/>
                <w:color w:val="000000" w:themeColor="text1"/>
                <w:highlight w:val="none"/>
                <w14:textFill>
                  <w14:solidFill>
                    <w14:schemeClr w14:val="tx1"/>
                  </w14:solidFill>
                </w14:textFill>
              </w:rPr>
              <w:t xml:space="preserve">万元</w:t>
            </w:r>
            <w:r/>
          </w:p>
        </w:tc>
      </w:tr>
      <w:tr>
        <w:trPr/>
        <w:tc>
          <w:tcPr>
            <w:tcW w:w="1246"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15.1</w:t>
            </w:r>
            <w:r/>
          </w:p>
        </w:tc>
        <w:tc>
          <w:tcPr>
            <w:tcW w:w="8386" w:type="dxa"/>
            <w:vAlign w:val="top"/>
            <w:textDirection w:val="lrTb"/>
            <w:noWrap w:val="false"/>
          </w:tcPr>
          <w:p>
            <w:pPr>
              <w:ind w:left="0" w:firstLine="480"/>
              <w:spacing w:line="40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以人民币报价。</w:t>
            </w:r>
            <w:r/>
          </w:p>
        </w:tc>
      </w:tr>
      <w:tr>
        <w:trPr/>
        <w:tc>
          <w:tcPr>
            <w:tcW w:w="1246"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16.1</w:t>
            </w:r>
            <w:r/>
          </w:p>
        </w:tc>
        <w:tc>
          <w:tcPr>
            <w:tcW w:w="8386" w:type="dxa"/>
            <w:vAlign w:val="top"/>
            <w:textDirection w:val="lrTb"/>
            <w:noWrap w:val="false"/>
          </w:tcPr>
          <w:p>
            <w:pPr>
              <w:ind w:firstLine="48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一、投标保证金：无</w:t>
            </w:r>
            <w:r/>
          </w:p>
        </w:tc>
      </w:tr>
      <w:tr>
        <w:trPr/>
        <w:tc>
          <w:tcPr>
            <w:tcW w:w="1246"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311"/>
              <w:ind w:firstLine="0"/>
              <w:jc w:val="center"/>
              <w:spacing w:after="0" w:line="400" w:lineRule="exact"/>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18.1</w:t>
            </w:r>
            <w:r/>
          </w:p>
        </w:tc>
        <w:tc>
          <w:tcPr>
            <w:tcW w:w="8386" w:type="dxa"/>
            <w:vAlign w:val="top"/>
            <w:textDirection w:val="lrTb"/>
            <w:noWrap w:val="false"/>
          </w:tcPr>
          <w:p>
            <w:pPr>
              <w:ind w:firstLine="480"/>
              <w:spacing w:line="400" w:lineRule="exac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投标人应当通过“苏采云”系统提交数据电文形式的投标文件（即电子投标）。</w:t>
            </w:r>
            <w:r/>
          </w:p>
          <w:p>
            <w:pPr>
              <w:ind w:firstLine="480"/>
              <w:spacing w:line="400" w:lineRule="exact"/>
              <w:rPr>
                <w:rFonts w:hint="eastAsia" w:ascii="宋体" w:hAnsi="宋体" w:eastAsia="宋体" w:cs="宋体"/>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特别说明：通过“苏采云”系统提交政府采购客户端工具导出加密的投标文件（后缀名为zip）。</w:t>
            </w:r>
            <w:r>
              <w:rPr>
                <w:rFonts w:hint="eastAsia" w:ascii="宋体" w:hAnsi="宋体" w:eastAsia="宋体" w:cs="宋体"/>
                <w:b/>
                <w:bCs/>
                <w:color w:val="000000" w:themeColor="text1"/>
                <w:highlight w:val="none"/>
                <w14:textFill>
                  <w14:solidFill>
                    <w14:schemeClr w14:val="tx1"/>
                  </w14:solidFill>
                </w14:textFill>
              </w:rPr>
              <w:t xml:space="preserve">投标文件不得超过150M！</w:t>
            </w:r>
            <w:r/>
          </w:p>
        </w:tc>
      </w:tr>
      <w:tr>
        <w:trPr/>
        <w:tc>
          <w:tcPr>
            <w:tcW w:w="1246"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19.1</w:t>
            </w:r>
            <w:r/>
          </w:p>
        </w:tc>
        <w:tc>
          <w:tcPr>
            <w:tcW w:w="8386" w:type="dxa"/>
            <w:vAlign w:val="top"/>
            <w:textDirection w:val="lrTb"/>
            <w:noWrap w:val="false"/>
          </w:tcPr>
          <w:p>
            <w:pPr>
              <w:ind w:firstLine="480"/>
              <w:spacing w:line="400" w:lineRule="exac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电子投标文件的加密、签署、盖章要求：</w:t>
            </w:r>
            <w:r/>
          </w:p>
          <w:p>
            <w:pPr>
              <w:ind w:firstLine="480"/>
              <w:spacing w:line="400" w:lineRule="exac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1、投标文件的加密要求：</w:t>
            </w:r>
            <w:r/>
          </w:p>
          <w:p>
            <w:pPr>
              <w:ind w:firstLine="480"/>
              <w:spacing w:line="400" w:lineRule="exac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firstLine="480"/>
              <w:spacing w:line="400" w:lineRule="exac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2、投标文件的签署要求：见招标文件第七章《投标文件相关格式》。</w:t>
            </w:r>
            <w:r/>
          </w:p>
          <w:p>
            <w:pPr>
              <w:ind w:firstLine="480"/>
              <w:spacing w:line="400" w:lineRule="exact"/>
              <w:rPr>
                <w:rFonts w:hint="eastAsia" w:ascii="宋体" w:hAnsi="宋体" w:eastAsia="宋体" w:cs="宋体"/>
                <w:color w:val="000000" w:themeColor="text1"/>
                <w:highlight w:val="none"/>
                <w:lang w:bidi="ar"/>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3、投标文件的盖章要求：见招标文件第三章《投标资料表》12.1和招标文件第七章《投标文件相关格式》。投标人须通过“苏采云”系统提供的政府采购客户端工具（使用“CA数字证书”）加盖电子签章。</w:t>
            </w:r>
            <w:r/>
          </w:p>
        </w:tc>
      </w:tr>
      <w:tr>
        <w:trPr/>
        <w:tc>
          <w:tcPr>
            <w:tcW w:w="1246"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19.2</w:t>
            </w:r>
            <w:r/>
          </w:p>
        </w:tc>
        <w:tc>
          <w:tcPr>
            <w:tcW w:w="8386" w:type="dxa"/>
            <w:vAlign w:val="top"/>
            <w:textDirection w:val="lrTb"/>
            <w:noWrap w:val="false"/>
          </w:tcPr>
          <w:p>
            <w:pPr>
              <w:ind w:left="480" w:firstLine="0"/>
              <w:spacing w:line="400" w:lineRule="exact"/>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投标文件的提交与接收： </w:t>
            </w:r>
            <w:r/>
          </w:p>
          <w:p>
            <w:pPr>
              <w:ind w:left="480" w:firstLine="0"/>
              <w:spacing w:line="400" w:lineRule="exac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1.提交投标文件截止时间</w:t>
            </w:r>
            <w:r>
              <w:rPr>
                <w:rFonts w:hint="eastAsia" w:ascii="宋体" w:hAnsi="宋体" w:eastAsia="宋体" w:cs="宋体"/>
                <w:b w:val="0"/>
                <w:bCs w:val="0"/>
                <w:color w:val="000000" w:themeColor="text1"/>
                <w:highlight w:val="none"/>
                <w14:textFill>
                  <w14:solidFill>
                    <w14:schemeClr w14:val="tx1"/>
                  </w14:solidFill>
                </w14:textFill>
              </w:rPr>
              <w:t xml:space="preserve">：</w:t>
            </w:r>
            <w:r>
              <w:rPr>
                <w:rFonts w:hint="eastAsia" w:ascii="宋体" w:hAnsi="宋体" w:eastAsia="宋体" w:cs="宋体"/>
                <w:b w:val="0"/>
                <w:bCs w:val="0"/>
                <w:color w:val="ff0000"/>
                <w:highlight w:val="none"/>
              </w:rPr>
              <w:t xml:space="preserve">202</w:t>
            </w:r>
            <w:r>
              <w:rPr>
                <w:rFonts w:hint="eastAsia" w:ascii="宋体" w:hAnsi="宋体" w:eastAsia="宋体" w:cs="宋体"/>
                <w:b w:val="0"/>
                <w:bCs w:val="0"/>
                <w:color w:val="ff0000"/>
                <w:highlight w:val="none"/>
                <w:lang w:val="en-US" w:eastAsia="zh-CN"/>
              </w:rPr>
              <w:t xml:space="preserve">6</w:t>
            </w:r>
            <w:r>
              <w:rPr>
                <w:rFonts w:hint="eastAsia" w:ascii="宋体" w:hAnsi="宋体" w:eastAsia="宋体" w:cs="宋体"/>
                <w:b w:val="0"/>
                <w:bCs w:val="0"/>
                <w:color w:val="ff0000"/>
                <w:highlight w:val="none"/>
              </w:rPr>
              <w:t xml:space="preserve">年</w:t>
            </w:r>
            <w:r>
              <w:rPr>
                <w:rFonts w:hint="eastAsia" w:ascii="宋体" w:hAnsi="宋体" w:eastAsia="宋体" w:cs="宋体"/>
                <w:b w:val="0"/>
                <w:bCs w:val="0"/>
                <w:color w:val="ff0000"/>
                <w:highlight w:val="none"/>
                <w:lang w:val="en-US" w:eastAsia="zh-CN"/>
              </w:rPr>
              <w:t xml:space="preserve">6</w:t>
            </w:r>
            <w:r>
              <w:rPr>
                <w:rFonts w:hint="eastAsia" w:ascii="宋体" w:hAnsi="宋体" w:eastAsia="宋体" w:cs="宋体"/>
                <w:b w:val="0"/>
                <w:bCs w:val="0"/>
                <w:color w:val="ff0000"/>
                <w:highlight w:val="none"/>
              </w:rPr>
              <w:t xml:space="preserve">月</w:t>
            </w:r>
            <w:r>
              <w:rPr>
                <w:rFonts w:hint="eastAsia" w:ascii="宋体" w:hAnsi="宋体" w:eastAsia="宋体" w:cs="宋体"/>
                <w:b w:val="0"/>
                <w:bCs w:val="0"/>
                <w:color w:val="ff0000"/>
                <w:highlight w:val="none"/>
                <w:lang w:val="en-US" w:eastAsia="zh-CN"/>
              </w:rPr>
              <w:t xml:space="preserve">18 </w:t>
            </w:r>
            <w:r>
              <w:rPr>
                <w:rFonts w:hint="eastAsia" w:ascii="宋体" w:hAnsi="宋体" w:eastAsia="宋体" w:cs="宋体"/>
                <w:b w:val="0"/>
                <w:bCs w:val="0"/>
                <w:color w:val="ff0000"/>
                <w:highlight w:val="none"/>
              </w:rPr>
              <w:t xml:space="preserve">日</w:t>
            </w:r>
            <w:r>
              <w:rPr>
                <w:rFonts w:hint="eastAsia" w:ascii="宋体" w:hAnsi="宋体" w:eastAsia="宋体" w:cs="宋体"/>
                <w:b w:val="0"/>
                <w:bCs w:val="0"/>
                <w:color w:val="000000" w:themeColor="text1"/>
                <w:highlight w:val="none"/>
                <w14:textFill>
                  <w14:solidFill>
                    <w14:schemeClr w14:val="tx1"/>
                  </w14:solidFill>
                </w14:textFill>
              </w:rPr>
              <w:t xml:space="preserve">北京时间09</w:t>
            </w:r>
            <w:r>
              <w:rPr>
                <w:rFonts w:hint="eastAsia" w:ascii="宋体" w:hAnsi="宋体" w:eastAsia="宋体" w:cs="宋体"/>
                <w:b w:val="0"/>
                <w:bCs w:val="0"/>
                <w:color w:val="000000" w:themeColor="text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highlight w:val="none"/>
                <w14:textFill>
                  <w14:solidFill>
                    <w14:schemeClr w14:val="tx1"/>
                  </w14:solidFill>
                </w14:textFill>
              </w:rPr>
              <w:t xml:space="preserve">0；</w:t>
            </w:r>
            <w:r/>
          </w:p>
          <w:p>
            <w:pPr>
              <w:ind w:firstLine="480"/>
              <w:spacing w:line="400" w:lineRule="exac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2.投标文件提交与接收地点：投标人应当通过“苏采云”系统提交数据电文形式的投标文件（即电子投标），“苏采云”系统自动接收。</w:t>
            </w:r>
            <w:r/>
          </w:p>
        </w:tc>
      </w:tr>
      <w:tr>
        <w:trPr/>
        <w:tc>
          <w:tcPr>
            <w:tcW w:w="1246"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w:t>
            </w:r>
            <w:r/>
          </w:p>
        </w:tc>
        <w:tc>
          <w:tcPr>
            <w:tcW w:w="8386" w:type="dxa"/>
            <w:vAlign w:val="top"/>
            <w:textDirection w:val="lrTb"/>
            <w:noWrap w:val="false"/>
          </w:tcPr>
          <w:p>
            <w:pPr>
              <w:ind w:firstLine="480"/>
              <w:spacing w:line="400" w:lineRule="exact"/>
              <w:shd w:val="clear" w:color="ffffff" w:fill="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投标人应当在投标截止时间前完成投标文件的传输提交，并可以补充、修改或者撤回投标文件。</w:t>
            </w:r>
            <w:r/>
          </w:p>
          <w:p>
            <w:pPr>
              <w:ind w:firstLine="480"/>
              <w:spacing w:line="400" w:lineRule="exact"/>
              <w:shd w:val="clear" w:color="ffffff" w:fill="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补充、修改投标文件的，须先撤回投标文件，重新编制（即补充、修改）投标文件，在投标截止时间前完成投标文件的传输提交。</w:t>
            </w:r>
            <w:r/>
          </w:p>
          <w:p>
            <w:pPr>
              <w:ind w:firstLine="480"/>
              <w:spacing w:line="400" w:lineRule="exact"/>
              <w:shd w:val="clear" w:color="ffffff" w:fill="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投标截止时间前未完成投标文件传输的，视为撤回投标文件。投标截止时间后送达的投标文件，“苏采云”系统应当拒收。</w:t>
            </w:r>
            <w:r/>
          </w:p>
          <w:p>
            <w:pPr>
              <w:ind w:firstLine="48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苏采云”系统收到投标人送达的投标文件，即时向投标人发出确认回执通知（提示），并妥善保存投标文件。在投标截止时间前，除投标人补充、修改或者撤回投标文件外，任何单位和个人不得解密、提取投标文件。</w:t>
            </w:r>
            <w:r/>
          </w:p>
        </w:tc>
      </w:tr>
      <w:tr>
        <w:trPr/>
        <w:tc>
          <w:tcPr>
            <w:tcW w:w="1246"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21.2</w:t>
            </w:r>
            <w:r/>
          </w:p>
        </w:tc>
        <w:tc>
          <w:tcPr>
            <w:tcW w:w="8386" w:type="dxa"/>
            <w:vAlign w:val="top"/>
            <w:textDirection w:val="lrTb"/>
            <w:noWrap w:val="false"/>
          </w:tcPr>
          <w:p>
            <w:pPr>
              <w:pStyle w:val="1145"/>
              <w:ind w:firstLine="480"/>
              <w:spacing w:line="40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招标文件对本项目分包的规定：采购人不允许采用分包方式履行合同。</w:t>
            </w:r>
            <w:r/>
          </w:p>
        </w:tc>
      </w:tr>
      <w:tr>
        <w:trPr/>
        <w:tc>
          <w:tcPr>
            <w:tcW w:w="1246"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8386" w:type="dxa"/>
            <w:vAlign w:val="top"/>
            <w:textDirection w:val="lrTb"/>
            <w:noWrap w:val="false"/>
          </w:tcPr>
          <w:p>
            <w:pPr>
              <w:ind w:left="0" w:firstLine="0"/>
              <w:jc w:val="center"/>
              <w:spacing w:line="400" w:lineRule="exact"/>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四、开标</w:t>
            </w:r>
            <w:r/>
          </w:p>
        </w:tc>
      </w:tr>
      <w:tr>
        <w:trPr>
          <w:trHeight w:val="682"/>
        </w:trPr>
        <w:tc>
          <w:tcPr>
            <w:tcW w:w="1246"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24.1</w:t>
            </w:r>
            <w:r/>
          </w:p>
        </w:tc>
        <w:tc>
          <w:tcPr>
            <w:tcW w:w="8386" w:type="dxa"/>
            <w:vAlign w:val="top"/>
            <w:textDirection w:val="lrTb"/>
            <w:noWrap w:val="false"/>
          </w:tcPr>
          <w:p>
            <w:pPr>
              <w:ind w:firstLine="480"/>
              <w:spacing w:line="400" w:lineRule="exac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开标时间及地点：</w:t>
            </w:r>
            <w:r/>
          </w:p>
          <w:p>
            <w:pPr>
              <w:ind w:firstLine="480"/>
              <w:spacing w:line="400" w:lineRule="exac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1.开标时间：</w:t>
            </w:r>
            <w:r>
              <w:rPr>
                <w:rFonts w:hint="eastAsia" w:ascii="宋体" w:hAnsi="宋体" w:eastAsia="宋体" w:cs="宋体"/>
                <w:b w:val="0"/>
                <w:bCs/>
                <w:color w:val="ff0000"/>
                <w:highlight w:val="none"/>
              </w:rPr>
              <w:t xml:space="preserve">202</w:t>
            </w:r>
            <w:r>
              <w:rPr>
                <w:rFonts w:hint="eastAsia" w:ascii="宋体" w:hAnsi="宋体" w:eastAsia="宋体" w:cs="宋体"/>
                <w:b w:val="0"/>
                <w:bCs/>
                <w:color w:val="ff0000"/>
                <w:highlight w:val="none"/>
                <w:lang w:val="en-US" w:eastAsia="zh-CN"/>
              </w:rPr>
              <w:t xml:space="preserve">6</w:t>
            </w:r>
            <w:r>
              <w:rPr>
                <w:rFonts w:hint="eastAsia" w:ascii="宋体" w:hAnsi="宋体" w:eastAsia="宋体" w:cs="宋体"/>
                <w:b w:val="0"/>
                <w:bCs/>
                <w:color w:val="ff0000"/>
                <w:highlight w:val="none"/>
              </w:rPr>
              <w:t xml:space="preserve">年</w:t>
            </w:r>
            <w:r>
              <w:rPr>
                <w:rFonts w:hint="eastAsia" w:ascii="宋体" w:hAnsi="宋体" w:eastAsia="宋体" w:cs="宋体"/>
                <w:b w:val="0"/>
                <w:bCs/>
                <w:color w:val="ff0000"/>
                <w:highlight w:val="none"/>
                <w:lang w:val="en-US" w:eastAsia="zh-CN"/>
              </w:rPr>
              <w:t xml:space="preserve">6</w:t>
            </w:r>
            <w:r>
              <w:rPr>
                <w:rFonts w:hint="eastAsia" w:ascii="宋体" w:hAnsi="宋体" w:eastAsia="宋体" w:cs="宋体"/>
                <w:b w:val="0"/>
                <w:bCs/>
                <w:color w:val="ff0000"/>
                <w:highlight w:val="none"/>
              </w:rPr>
              <w:t xml:space="preserve">月</w:t>
            </w:r>
            <w:r>
              <w:rPr>
                <w:rFonts w:hint="eastAsia" w:ascii="宋体" w:hAnsi="宋体" w:eastAsia="宋体" w:cs="宋体"/>
                <w:b w:val="0"/>
                <w:bCs/>
                <w:color w:val="ff0000"/>
                <w:highlight w:val="none"/>
                <w:lang w:val="en-US" w:eastAsia="zh-CN"/>
              </w:rPr>
              <w:t xml:space="preserve">18 </w:t>
            </w:r>
            <w:r>
              <w:rPr>
                <w:rFonts w:hint="eastAsia" w:ascii="宋体" w:hAnsi="宋体" w:eastAsia="宋体" w:cs="宋体"/>
                <w:b w:val="0"/>
                <w:bCs/>
                <w:color w:val="ff0000"/>
                <w:highlight w:val="none"/>
              </w:rPr>
              <w:t xml:space="preserve">日</w:t>
            </w:r>
            <w:r>
              <w:rPr>
                <w:rFonts w:hint="eastAsia" w:ascii="宋体" w:hAnsi="宋体" w:eastAsia="宋体" w:cs="宋体"/>
                <w:b w:val="0"/>
                <w:bCs/>
                <w:color w:val="000000" w:themeColor="text1"/>
                <w:highlight w:val="none"/>
                <w14:textFill>
                  <w14:solidFill>
                    <w14:schemeClr w14:val="tx1"/>
                  </w14:solidFill>
                </w14:textFill>
              </w:rPr>
              <w:t xml:space="preserve">北京时间09：30</w:t>
            </w:r>
            <w:r/>
          </w:p>
          <w:p>
            <w:pPr>
              <w:ind w:firstLine="480"/>
              <w:jc w:val="left"/>
              <w:spacing w:line="400" w:lineRule="exac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2.开标地点：“苏采云”系统（网址： http://jszfcg.jsczt.cn/）“开标大厅”或进入徐州政府采购网（网址：https://czj.xz.gov.cn/zfcg/）--业务工作--用户登录，点击“苏采云”进入系统“开标大厅”。</w:t>
            </w:r>
            <w:r/>
          </w:p>
        </w:tc>
      </w:tr>
      <w:tr>
        <w:trPr>
          <w:trHeight w:val="682"/>
        </w:trPr>
        <w:tc>
          <w:tcPr>
            <w:tcW w:w="1246"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24.3</w:t>
            </w:r>
            <w:r/>
          </w:p>
        </w:tc>
        <w:tc>
          <w:tcPr>
            <w:tcW w:w="8386" w:type="dxa"/>
            <w:vAlign w:val="top"/>
            <w:textDirection w:val="lrTb"/>
            <w:noWrap w:val="false"/>
          </w:tcPr>
          <w:p>
            <w:pPr>
              <w:ind w:firstLine="480"/>
              <w:jc w:val="left"/>
              <w:spacing w:line="400" w:lineRule="exac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线上开标时，“苏采云”系统自动提取所有投标文件，投标人按招标文件规定方式按时在线解密。本项目招标文件规定的投标人按时在线解密方式：</w:t>
            </w:r>
            <w:r>
              <w:rPr>
                <w:rFonts w:hint="eastAsia" w:ascii="宋体" w:hAnsi="宋体" w:eastAsia="宋体" w:cs="宋体"/>
                <w:b/>
                <w:bCs/>
                <w:color w:val="000000" w:themeColor="text1"/>
                <w:highlight w:val="none"/>
                <w14:textFill>
                  <w14:solidFill>
                    <w14:schemeClr w14:val="tx1"/>
                  </w14:solidFill>
                </w14:textFill>
              </w:rPr>
              <w:t xml:space="preserve">开标时间后30分钟内</w:t>
            </w:r>
            <w:r>
              <w:rPr>
                <w:rFonts w:hint="eastAsia" w:ascii="宋体" w:hAnsi="宋体" w:eastAsia="宋体" w:cs="宋体"/>
                <w:color w:val="000000" w:themeColor="text1"/>
                <w:highlight w:val="none"/>
                <w14:textFill>
                  <w14:solidFill>
                    <w14:schemeClr w14:val="tx1"/>
                  </w14:solidFill>
                </w14:textFill>
              </w:rPr>
              <w:t xml:space="preserve">，通过“苏采云”系统（使用“CA数字证书”）解密。</w:t>
            </w:r>
            <w:r/>
          </w:p>
          <w:p>
            <w:pPr>
              <w:ind w:firstLine="480"/>
              <w:jc w:val="left"/>
              <w:spacing w:line="400" w:lineRule="exac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spacing w:line="400" w:lineRule="exact"/>
              <w:rPr>
                <w:rFonts w:hint="eastAsia"/>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“苏采云”系统生成开标记录并向社会公众公布，但依法应当保密的除外。</w:t>
            </w:r>
            <w:r/>
          </w:p>
        </w:tc>
      </w:tr>
      <w:tr>
        <w:trPr>
          <w:trHeight w:val="492"/>
        </w:trPr>
        <w:tc>
          <w:tcPr>
            <w:tcW w:w="1246"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24.4</w:t>
            </w:r>
            <w:r/>
          </w:p>
        </w:tc>
        <w:tc>
          <w:tcPr>
            <w:tcW w:w="8386" w:type="dxa"/>
            <w:vAlign w:val="top"/>
            <w:textDirection w:val="lrTb"/>
            <w:noWrap w:val="false"/>
          </w:tcPr>
          <w:p>
            <w:pPr>
              <w:ind w:firstLine="480"/>
              <w:spacing w:line="400" w:lineRule="exac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“苏采云”系统生成开标记录并</w:t>
            </w:r>
            <w:r>
              <w:rPr>
                <w:rFonts w:hint="eastAsia" w:ascii="宋体" w:hAnsi="宋体" w:eastAsia="宋体" w:cs="宋体"/>
                <w:b/>
                <w:bCs/>
                <w:color w:val="000000" w:themeColor="text1"/>
                <w:sz w:val="24"/>
                <w:highlight w:val="none"/>
                <w14:textFill>
                  <w14:solidFill>
                    <w14:schemeClr w14:val="tx1"/>
                  </w14:solidFill>
                </w14:textFill>
              </w:rPr>
              <w:t xml:space="preserve">向社会公众公布后5分钟内</w:t>
            </w:r>
            <w:r>
              <w:rPr>
                <w:rFonts w:hint="eastAsia" w:ascii="宋体" w:hAnsi="宋体" w:eastAsia="宋体" w:cs="宋体"/>
                <w:color w:val="000000" w:themeColor="text1"/>
                <w:sz w:val="24"/>
                <w:highlight w:val="none"/>
                <w14:textFill>
                  <w14:solidFill>
                    <w14:schemeClr w14:val="tx1"/>
                  </w14:solidFill>
                </w14:textFill>
              </w:rPr>
              <w:t xml:space="preserve">，投标人通过“苏采云”系统（使用“CA数字证书”）</w:t>
            </w:r>
            <w:r>
              <w:rPr>
                <w:rFonts w:hint="eastAsia" w:ascii="宋体" w:hAnsi="宋体" w:eastAsia="宋体" w:cs="宋体"/>
                <w:b/>
                <w:bCs/>
                <w:color w:val="000000" w:themeColor="text1"/>
                <w:sz w:val="24"/>
                <w:highlight w:val="none"/>
                <w14:textFill>
                  <w14:solidFill>
                    <w14:schemeClr w14:val="tx1"/>
                  </w14:solidFill>
                </w14:textFill>
              </w:rPr>
              <w:t xml:space="preserve">确认开标过程</w:t>
            </w:r>
            <w:r>
              <w:rPr>
                <w:rFonts w:hint="eastAsia" w:ascii="宋体" w:hAnsi="宋体" w:eastAsia="宋体" w:cs="宋体"/>
                <w:color w:val="000000" w:themeColor="text1"/>
                <w:sz w:val="24"/>
                <w:highlight w:val="none"/>
                <w14:textFill>
                  <w14:solidFill>
                    <w14:schemeClr w14:val="tx1"/>
                  </w14:solidFill>
                </w14:textFill>
              </w:rPr>
              <w:t xml:space="preserve">。在以上时间内投标人没有确认的，视同该投标人认可开标结果。</w:t>
            </w:r>
            <w:r/>
          </w:p>
        </w:tc>
      </w:tr>
      <w:tr>
        <w:trPr>
          <w:trHeight w:val="360"/>
        </w:trPr>
        <w:tc>
          <w:tcPr>
            <w:tcW w:w="1246"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24.5</w:t>
            </w:r>
            <w:r/>
          </w:p>
        </w:tc>
        <w:tc>
          <w:tcPr>
            <w:tcW w:w="8386" w:type="dxa"/>
            <w:vAlign w:val="top"/>
            <w:textDirection w:val="lrTb"/>
            <w:noWrap w:val="false"/>
          </w:tcPr>
          <w:p>
            <w:pPr>
              <w:ind w:firstLine="480"/>
              <w:spacing w:line="400" w:lineRule="exac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tc>
          <w:tcPr>
            <w:tcW w:w="1246"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8386" w:type="dxa"/>
            <w:vAlign w:val="top"/>
            <w:textDirection w:val="lrTb"/>
            <w:noWrap w:val="false"/>
          </w:tcPr>
          <w:p>
            <w:pPr>
              <w:ind w:left="0" w:firstLine="0"/>
              <w:jc w:val="center"/>
              <w:spacing w:line="400" w:lineRule="exact"/>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五、评标</w:t>
            </w:r>
            <w:r/>
          </w:p>
        </w:tc>
      </w:tr>
      <w:tr>
        <w:trPr/>
        <w:tc>
          <w:tcPr>
            <w:tcW w:w="1246"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26.</w:t>
            </w:r>
            <w:r>
              <w:rPr>
                <w:rFonts w:hint="eastAsia" w:ascii="宋体" w:hAnsi="宋体" w:eastAsia="宋体" w:cs="宋体"/>
                <w:color w:val="000000" w:themeColor="text1"/>
                <w:highlight w:val="none"/>
                <w:lang w:val="en-US" w:eastAsia="zh-CN"/>
                <w14:textFill>
                  <w14:solidFill>
                    <w14:schemeClr w14:val="tx1"/>
                  </w14:solidFill>
                </w14:textFill>
              </w:rPr>
              <w:t xml:space="preserve">1</w:t>
            </w:r>
            <w:r/>
          </w:p>
        </w:tc>
        <w:tc>
          <w:tcPr>
            <w:tcW w:w="8386" w:type="dxa"/>
            <w:vAlign w:val="top"/>
            <w:textDirection w:val="lrTb"/>
            <w:noWrap w:val="false"/>
          </w:tcPr>
          <w:p>
            <w:pPr>
              <w:ind w:firstLine="482"/>
              <w:spacing w:line="400" w:lineRule="exact"/>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采用综合评分法。</w:t>
            </w:r>
            <w:r/>
          </w:p>
        </w:tc>
      </w:tr>
      <w:tr>
        <w:trPr/>
        <w:tc>
          <w:tcPr>
            <w:tcW w:w="1246" w:type="dxa"/>
            <w:vAlign w:val="top"/>
            <w:textDirection w:val="lrTb"/>
            <w:noWrap w:val="false"/>
          </w:tcPr>
          <w:p>
            <w:pPr>
              <w:ind w:firstLine="0"/>
              <w:jc w:val="center"/>
              <w:spacing w:line="400" w:lineRule="exact"/>
              <w:rPr>
                <w:rFonts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27.1</w:t>
            </w:r>
            <w:r/>
          </w:p>
        </w:tc>
        <w:tc>
          <w:tcPr>
            <w:tcW w:w="8386" w:type="dxa"/>
            <w:vAlign w:val="top"/>
            <w:textDirection w:val="lrTb"/>
            <w:noWrap w:val="false"/>
          </w:tcPr>
          <w:p>
            <w:pPr>
              <w:ind w:firstLine="48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评标结果按评审后得分由高到低顺序排列。</w:t>
            </w:r>
            <w:r>
              <w:rPr>
                <w:rFonts w:hint="eastAsia" w:ascii="宋体" w:hAnsi="宋体" w:eastAsia="宋体" w:cs="宋体"/>
                <w:color w:val="000000" w:themeColor="text1"/>
                <w:highlight w:val="none"/>
                <w14:textFill>
                  <w14:solidFill>
                    <w14:schemeClr w14:val="tx1"/>
                  </w14:solidFill>
                </w14:textFill>
              </w:rPr>
              <w:t xml:space="preserve">得分相同的，按投标报价由低到高顺序排列。得分且投标报价相同的</w:t>
            </w:r>
            <w:r>
              <w:rPr>
                <w:rFonts w:hint="eastAsia" w:ascii="宋体" w:hAnsi="宋体" w:eastAsia="宋体" w:cs="宋体"/>
                <w:color w:val="000000" w:themeColor="text1"/>
                <w:highlight w:val="none"/>
                <w:lang w:val="en-US" w:eastAsia="zh-CN"/>
                <w14:textFill>
                  <w14:solidFill>
                    <w14:schemeClr w14:val="tx1"/>
                  </w14:solidFill>
                </w14:textFill>
              </w:rPr>
              <w:t xml:space="preserve">并列</w:t>
            </w:r>
            <w:r>
              <w:rPr>
                <w:rFonts w:hint="eastAsia" w:ascii="宋体" w:hAnsi="宋体" w:eastAsia="宋体" w:cs="宋体"/>
                <w:color w:val="000000" w:themeColor="text1"/>
                <w:highlight w:val="none"/>
                <w14:textFill>
                  <w14:solidFill>
                    <w14:schemeClr w14:val="tx1"/>
                  </w14:solidFill>
                </w14:textFill>
              </w:rPr>
              <w:t xml:space="preserve">。</w:t>
            </w:r>
            <w:r/>
          </w:p>
          <w:p>
            <w:pPr>
              <w:ind w:firstLine="480"/>
              <w:spacing w:line="400" w:lineRule="exact"/>
              <w:rPr>
                <w:rFonts w:hint="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14:textFill>
                  <w14:solidFill>
                    <w14:schemeClr w14:val="tx1"/>
                  </w14:solidFill>
                </w14:textFill>
              </w:rPr>
              <w:t xml:space="preserve">投标文件满足招标文件全部实质性要求，且按照评审因素的量化指标评审得分最高的投标人为排名第一的中标候选人。</w:t>
            </w:r>
            <w:r/>
          </w:p>
        </w:tc>
      </w:tr>
      <w:tr>
        <w:trPr/>
        <w:tc>
          <w:tcPr>
            <w:tcW w:w="1246"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27.3.1</w:t>
            </w:r>
            <w:r/>
          </w:p>
        </w:tc>
        <w:tc>
          <w:tcPr>
            <w:tcW w:w="8386" w:type="dxa"/>
            <w:vAlign w:val="top"/>
            <w:textDirection w:val="lrTb"/>
            <w:noWrap w:val="false"/>
          </w:tcPr>
          <w:p>
            <w:pPr>
              <w:ind w:firstLine="480"/>
              <w:spacing w:line="400" w:lineRule="exac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报价相同的，招标文件规定的确定一个投标人参加评标的方式：由采购人确定。</w:t>
            </w:r>
            <w:r/>
          </w:p>
          <w:p>
            <w:pPr>
              <w:ind w:firstLine="480"/>
              <w:spacing w:line="400" w:lineRule="exact"/>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核心产品为两个及以上的，不同投标人所投的核心产品中有部分产品为同一品牌的，按照提供相同品牌产品处理。</w:t>
            </w:r>
            <w:r/>
          </w:p>
        </w:tc>
      </w:tr>
      <w:tr>
        <w:trPr/>
        <w:tc>
          <w:tcPr>
            <w:tcW w:w="1246"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27.3.2</w:t>
            </w:r>
            <w:r/>
          </w:p>
        </w:tc>
        <w:tc>
          <w:tcPr>
            <w:tcW w:w="8386" w:type="dxa"/>
            <w:vAlign w:val="top"/>
            <w:textDirection w:val="lrTb"/>
            <w:noWrap w:val="false"/>
          </w:tcPr>
          <w:p>
            <w:pPr>
              <w:ind w:firstLine="480"/>
              <w:spacing w:line="400" w:lineRule="exac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评审得分相同的，招标文件规定的确定一个投标人获得中标人推荐资格的方式：由采购人确定。</w:t>
            </w:r>
            <w:r/>
          </w:p>
          <w:p>
            <w:pPr>
              <w:ind w:firstLine="480"/>
              <w:spacing w:line="400" w:lineRule="exac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核心产品为两个及以上的，不同投标人所投的核心产品中有部分产品为同一品牌的，按照提供相同品牌产品处理。</w:t>
            </w:r>
            <w:r/>
          </w:p>
        </w:tc>
      </w:tr>
      <w:tr>
        <w:trPr>
          <w:trHeight w:val="434"/>
        </w:trPr>
        <w:tc>
          <w:tcPr>
            <w:tcW w:w="1246"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27.3.3</w:t>
            </w:r>
            <w:r/>
          </w:p>
        </w:tc>
        <w:tc>
          <w:tcPr>
            <w:tcW w:w="8386" w:type="dxa"/>
            <w:vAlign w:val="top"/>
            <w:textDirection w:val="lrTb"/>
            <w:noWrap w:val="false"/>
          </w:tcPr>
          <w:p>
            <w:pPr>
              <w:ind w:left="0" w:firstLine="482"/>
              <w:spacing w:line="400" w:lineRule="exact"/>
              <w:rPr>
                <w:rFonts w:hint="eastAsia" w:ascii="宋体" w:hAnsi="宋体" w:eastAsia="宋体" w:cs="宋体"/>
                <w:b/>
                <w:bCs/>
                <w:color w:val="000000" w:themeColor="text1"/>
                <w:highlight w:val="none"/>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b/>
                <w:bCs/>
                <w:color w:val="000000" w:themeColor="text1"/>
                <w:highlight w:val="none"/>
                <w14:textFill>
                  <w14:solidFill>
                    <w14:schemeClr w14:val="tx1"/>
                  </w14:solidFill>
                </w14:textFill>
              </w:rPr>
              <w:t xml:space="preserve">采购人根据采购项目技术构成、产品价格比重等确定核心产品：</w:t>
            </w:r>
            <w:r>
              <w:rPr>
                <w:rFonts w:hint="eastAsia" w:ascii="宋体" w:hAnsi="宋体" w:eastAsia="宋体"/>
                <w:b/>
                <w:bCs/>
                <w:color w:val="000000" w:themeColor="text1"/>
                <w:highlight w:val="none"/>
                <w:lang w:val="en-US" w:eastAsia="zh-CN"/>
                <w14:textFill>
                  <w14:solidFill>
                    <w14:schemeClr w14:val="tx1"/>
                  </w14:solidFill>
                </w14:textFill>
              </w:rPr>
              <w:t xml:space="preserve">无</w:t>
            </w:r>
            <w:r/>
          </w:p>
        </w:tc>
      </w:tr>
      <w:tr>
        <w:trPr/>
        <w:tc>
          <w:tcPr>
            <w:tcW w:w="1246"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w:t>
            </w:r>
            <w:r/>
          </w:p>
        </w:tc>
        <w:tc>
          <w:tcPr>
            <w:tcW w:w="8386" w:type="dxa"/>
            <w:vAlign w:val="top"/>
            <w:textDirection w:val="lrTb"/>
            <w:noWrap w:val="false"/>
          </w:tcPr>
          <w:p>
            <w:pPr>
              <w:ind w:firstLine="480"/>
              <w:jc w:val="left"/>
              <w:keepLines w:val="0"/>
              <w:keepNext w:val="0"/>
              <w:pageBreakBefore w:val="0"/>
              <w:spacing w:line="36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1.评标中需要投标人对投标文件澄清或者说明的，应当通过“苏采云”系统交换数据电文。</w:t>
            </w:r>
            <w:r>
              <w:rPr>
                <w:rFonts w:hint="eastAsia" w:ascii="宋体" w:hAnsi="宋体" w:eastAsia="宋体" w:cs="宋体"/>
                <w:b/>
                <w:bCs/>
                <w:color w:val="000000" w:themeColor="text1"/>
                <w:sz w:val="24"/>
                <w:highlight w:val="none"/>
                <w14:textFill>
                  <w14:solidFill>
                    <w14:schemeClr w14:val="tx1"/>
                  </w14:solidFill>
                </w14:textFill>
              </w:rPr>
              <w:t xml:space="preserve">在评标期间，请投标人保持在线</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jc w:val="left"/>
              <w:keepLines w:val="0"/>
              <w:keepNext w:val="0"/>
              <w:pageBreakBefore w:val="0"/>
              <w:spacing w:line="36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keepLines w:val="0"/>
              <w:keepNext w:val="0"/>
              <w:pageBreakBefore w:val="0"/>
              <w:spacing w:line="36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2"/>
              <w:keepLines w:val="0"/>
              <w:keepNext w:val="0"/>
              <w:pageBreakBefore w:val="0"/>
              <w:spacing w:line="360" w:lineRule="exact"/>
              <w:rPr>
                <w:rFonts w:hint="eastAsia" w:ascii="宋体" w:hAnsi="宋体" w:eastAsia="宋体" w:cs="宋体"/>
                <w:b/>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特别说明：“苏采云”系统通过“江苏省政府采购一体化不见面开标大厅</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color w:val="000000" w:themeColor="text1"/>
                <w:sz w:val="24"/>
                <w:highlight w:val="none"/>
                <w14:textFill>
                  <w14:solidFill>
                    <w14:schemeClr w14:val="tx1"/>
                  </w14:solidFill>
                </w14:textFill>
              </w:rPr>
              <w:t xml:space="preserve">提醒投标人。投标人自行查看，投标人因自身原因不及时查看导致没收到信息，“苏采云”系统不承担任何责任。</w:t>
            </w:r>
            <w:r/>
          </w:p>
        </w:tc>
      </w:tr>
      <w:tr>
        <w:trPr>
          <w:trHeight w:val="3211"/>
        </w:trPr>
        <w:tc>
          <w:tcPr>
            <w:tcW w:w="1246"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w:t>
            </w:r>
            <w:r/>
          </w:p>
        </w:tc>
        <w:tc>
          <w:tcPr>
            <w:tcW w:w="8386" w:type="dxa"/>
            <w:vAlign w:val="top"/>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评标委员会认为投标人的报价明显低于其他通过符合性审查投标人的报价，有可能影响产品质量或者不能诚信履约的，应当要求其在评标现场合理的时间内通过“苏采云”系统（使用“CA数字证书”,加盖电子签章）提供书面说明，必要时提交相关证明材料；投标人不能证明其报价合理性的，评标委员会应当将其作为无效投标处理。</w:t>
            </w:r>
            <w:r/>
          </w:p>
          <w:p>
            <w:pPr>
              <w:ind w:firstLine="482"/>
              <w:spacing w:line="400" w:lineRule="exact"/>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特别说明：“苏采云”系统通过“江苏省政府采购一体化不见面开标大厅</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color w:val="000000" w:themeColor="text1"/>
                <w:sz w:val="24"/>
                <w:highlight w:val="none"/>
                <w14:textFill>
                  <w14:solidFill>
                    <w14:schemeClr w14:val="tx1"/>
                  </w14:solidFill>
                </w14:textFill>
              </w:rPr>
              <w:t xml:space="preserve">提醒投标人。投标人自行查看，投标人因自身原因不及时查看导致没收到信息，“苏采云”系统不承担任何责任。</w:t>
            </w:r>
            <w:r/>
          </w:p>
        </w:tc>
      </w:tr>
      <w:tr>
        <w:trPr>
          <w:trHeight w:val="90"/>
        </w:trPr>
        <w:tc>
          <w:tcPr>
            <w:tcW w:w="1246"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8386" w:type="dxa"/>
            <w:vAlign w:val="top"/>
            <w:textDirection w:val="lrTb"/>
            <w:noWrap w:val="false"/>
          </w:tcPr>
          <w:p>
            <w:pPr>
              <w:pStyle w:val="1311"/>
              <w:ind w:left="0" w:firstLine="0"/>
              <w:jc w:val="center"/>
              <w:spacing w:after="0" w:line="400" w:lineRule="exact"/>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b/>
                <w:color w:val="000000" w:themeColor="text1"/>
                <w:highlight w:val="none"/>
                <w:lang w:val="en-US" w:eastAsia="zh-CN"/>
                <w14:textFill>
                  <w14:solidFill>
                    <w14:schemeClr w14:val="tx1"/>
                  </w14:solidFill>
                </w14:textFill>
              </w:rPr>
              <w:t xml:space="preserve">六、定标</w:t>
            </w:r>
            <w:r/>
          </w:p>
        </w:tc>
      </w:tr>
      <w:tr>
        <w:trPr>
          <w:trHeight w:val="570"/>
        </w:trPr>
        <w:tc>
          <w:tcPr>
            <w:tcW w:w="1246"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w:t>
            </w:r>
            <w:r/>
          </w:p>
        </w:tc>
        <w:tc>
          <w:tcPr>
            <w:tcW w:w="8386" w:type="dxa"/>
            <w:vAlign w:val="top"/>
            <w:textDirection w:val="lrTb"/>
            <w:noWrap w:val="false"/>
          </w:tcPr>
          <w:p>
            <w:pPr>
              <w:ind w:firstLine="480"/>
              <w:jc w:val="left"/>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采购人根据评标报告确定的中标候选人顺序确定中标人，中标候选人并列的，招标文件规定的确定中标人方式：</w:t>
            </w:r>
            <w:r/>
          </w:p>
          <w:p>
            <w:pPr>
              <w:ind w:firstLine="480"/>
              <w:jc w:val="left"/>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1.确定人：采购人。</w:t>
            </w:r>
            <w:r/>
          </w:p>
          <w:p>
            <w:pPr>
              <w:ind w:firstLine="480"/>
              <w:jc w:val="left"/>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2.确定中标人方式：根据技术部分得分高低排序，确定中标人；技术部分得分相同的，根据商务部分高低排序，确定中标人；如商务部分得分也相同，按照以下顺序确定中标人：</w:t>
            </w:r>
            <w:r/>
          </w:p>
          <w:p>
            <w:pPr>
              <w:ind w:firstLine="480"/>
              <w:jc w:val="left"/>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1.投标文件中提供所投产品的节能产品认证证书（不包括强制采购要求（如有），要求见招标文件第六章《采购需求》，下同）的；或所投产品的环境标志产品认证证书的，被确定为中标人。</w:t>
            </w:r>
            <w:r/>
          </w:p>
          <w:p>
            <w:pPr>
              <w:ind w:firstLine="480"/>
              <w:jc w:val="left"/>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2.都符合第1种情况的，投标文件中提供所投产品的节能产品认证证书和所投产品的环境标志产品认证证书的，被确定为中标人。</w:t>
            </w:r>
            <w:r/>
          </w:p>
          <w:p>
            <w:pPr>
              <w:ind w:firstLine="480"/>
              <w:jc w:val="left"/>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3.都符合第2种情况的，投标文件中提供所投产品的节能产品认证证书和所投产品的环境标志产品认证证书份数最多的，被确定为中标人。</w:t>
            </w:r>
            <w:r/>
          </w:p>
          <w:p>
            <w:pPr>
              <w:ind w:firstLine="480"/>
              <w:jc w:val="left"/>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4.第3种情况无法确定的，由采购人确定。</w:t>
            </w:r>
            <w:r/>
          </w:p>
          <w:p>
            <w:pPr>
              <w:jc w:val="left"/>
              <w:rPr>
                <w:rFonts w:hint="eastAsia"/>
                <w:color w:val="000000" w:themeColor="text1"/>
                <w:highlight w:val="none"/>
                <w:lang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说明：所投产品的环境标志产品认证证书、所投产品的节能产品认证证书要求：见招标文件第三章《投标资料表》中12.1。</w:t>
            </w:r>
            <w:r/>
          </w:p>
        </w:tc>
      </w:tr>
      <w:tr>
        <w:trPr>
          <w:trHeight w:val="860"/>
        </w:trPr>
        <w:tc>
          <w:tcPr>
            <w:tcW w:w="1246" w:type="dxa"/>
            <w:vAlign w:val="top"/>
            <w:textDirection w:val="lrTb"/>
            <w:noWrap w:val="false"/>
          </w:tcPr>
          <w:p>
            <w:pPr>
              <w:ind w:firstLine="0"/>
              <w:jc w:val="center"/>
              <w:spacing w:line="400" w:lineRule="exact"/>
              <w:rPr>
                <w:rFonts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34.1</w:t>
            </w:r>
            <w:r/>
          </w:p>
        </w:tc>
        <w:tc>
          <w:tcPr>
            <w:tcW w:w="8386" w:type="dxa"/>
            <w:vAlign w:val="top"/>
            <w:textDirection w:val="lrTb"/>
            <w:noWrap w:val="false"/>
          </w:tcPr>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在公告中标结果的同时，通过“苏采云”系统以数据电文形式：向中标人发出中标通知书；告知未通过资格审查的投标人,其未通过的原因；采用综合评分法评审的，告知未中标人本人的评审得分与排序。</w:t>
            </w:r>
            <w:r/>
          </w:p>
        </w:tc>
      </w:tr>
      <w:tr>
        <w:trPr>
          <w:trHeight w:val="895"/>
        </w:trPr>
        <w:tc>
          <w:tcPr>
            <w:tcW w:w="1246"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34.2</w:t>
            </w:r>
            <w:r/>
          </w:p>
        </w:tc>
        <w:tc>
          <w:tcPr>
            <w:tcW w:w="8386" w:type="dxa"/>
            <w:vAlign w:val="top"/>
            <w:textDirection w:val="lrTb"/>
            <w:noWrap w:val="false"/>
          </w:tcPr>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采用最低评标价法的，公告中标结果时同时公告因落实政府采购政策等原因进行价格扣除后中标供应商的评审报价；采用综合评分法的，公告中标结果时同时公告中标供应商的评审总得分。</w:t>
            </w:r>
            <w:r/>
          </w:p>
        </w:tc>
      </w:tr>
      <w:tr>
        <w:trPr>
          <w:trHeight w:val="371"/>
        </w:trPr>
        <w:tc>
          <w:tcPr>
            <w:tcW w:w="1246" w:type="dxa"/>
            <w:vAlign w:val="top"/>
            <w:textDirection w:val="lrTb"/>
            <w:noWrap w:val="false"/>
          </w:tcPr>
          <w:p>
            <w:pPr>
              <w:ind w:firstLine="0"/>
              <w:jc w:val="center"/>
              <w:spacing w:line="400" w:lineRule="exact"/>
              <w:rPr>
                <w:rFonts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34.3</w:t>
            </w:r>
            <w:r/>
          </w:p>
        </w:tc>
        <w:tc>
          <w:tcPr>
            <w:tcW w:w="8386" w:type="dxa"/>
            <w:vAlign w:val="top"/>
            <w:textDirection w:val="lrTb"/>
            <w:noWrap w:val="false"/>
          </w:tcPr>
          <w:p>
            <w:pPr>
              <w:ind w:firstLine="480"/>
              <w:jc w:val="left"/>
              <w:spacing w:line="400" w:lineRule="exact"/>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中标结果在省级以上财政部门指定的媒体上进行公告。</w:t>
            </w:r>
            <w:r/>
          </w:p>
        </w:tc>
      </w:tr>
      <w:tr>
        <w:trPr>
          <w:trHeight w:val="1637"/>
        </w:trPr>
        <w:tc>
          <w:tcPr>
            <w:tcW w:w="1246" w:type="dxa"/>
            <w:vAlign w:val="top"/>
            <w:textDirection w:val="lrTb"/>
            <w:noWrap w:val="false"/>
          </w:tcPr>
          <w:p>
            <w:pPr>
              <w:ind w:firstLine="0"/>
              <w:jc w:val="center"/>
              <w:spacing w:line="400" w:lineRule="exact"/>
              <w:rPr>
                <w:rFonts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35.</w:t>
            </w:r>
            <w:r/>
          </w:p>
        </w:tc>
        <w:tc>
          <w:tcPr>
            <w:tcW w:w="8386" w:type="dxa"/>
            <w:vAlign w:val="top"/>
            <w:textDirection w:val="lrTb"/>
            <w:noWrap w:val="false"/>
          </w:tcPr>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特别说明：</w:t>
            </w:r>
            <w:r/>
          </w:p>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W w:w="1246"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8386" w:type="dxa"/>
            <w:vAlign w:val="top"/>
            <w:textDirection w:val="lrTb"/>
            <w:noWrap w:val="false"/>
          </w:tcPr>
          <w:p>
            <w:pPr>
              <w:ind w:left="0" w:firstLine="0"/>
              <w:jc w:val="center"/>
              <w:spacing w:line="400" w:lineRule="exact"/>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七、政府采购合同</w:t>
            </w:r>
            <w:r/>
          </w:p>
        </w:tc>
      </w:tr>
      <w:tr>
        <w:trPr>
          <w:trHeight w:val="834"/>
        </w:trPr>
        <w:tc>
          <w:tcPr>
            <w:tcW w:w="1246"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w:t>
            </w:r>
            <w:r>
              <w:rPr>
                <w:rFonts w:hint="eastAsia" w:ascii="宋体" w:hAnsi="宋体" w:eastAsia="宋体" w:cs="宋体"/>
                <w:color w:val="000000" w:themeColor="text1"/>
                <w:highlight w:val="none"/>
                <w:lang w:val="en-US" w:eastAsia="zh-CN"/>
                <w14:textFill>
                  <w14:solidFill>
                    <w14:schemeClr w14:val="tx1"/>
                  </w14:solidFill>
                </w14:textFill>
              </w:rPr>
              <w:t xml:space="preserve">7</w:t>
            </w:r>
            <w:r>
              <w:rPr>
                <w:rFonts w:hint="eastAsia" w:ascii="宋体" w:hAnsi="宋体" w:eastAsia="宋体" w:cs="宋体"/>
                <w:color w:val="000000" w:themeColor="text1"/>
                <w:highlight w:val="none"/>
                <w14:textFill>
                  <w14:solidFill>
                    <w14:schemeClr w14:val="tx1"/>
                  </w14:solidFill>
                </w14:textFill>
              </w:rPr>
              <w:t xml:space="preserve">.1</w:t>
            </w:r>
            <w:r/>
          </w:p>
        </w:tc>
        <w:tc>
          <w:tcPr>
            <w:tcW w:w="8386" w:type="dxa"/>
            <w:vAlign w:val="top"/>
            <w:textDirection w:val="lrTb"/>
            <w:noWrap w:val="false"/>
          </w:tcPr>
          <w:p>
            <w:pPr>
              <w:ind w:firstLine="48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采购人</w:t>
            </w:r>
            <w:r>
              <w:rPr>
                <w:rFonts w:hint="eastAsia" w:ascii="宋体" w:hAnsi="宋体" w:eastAsia="宋体" w:cs="宋体"/>
                <w:color w:val="000000" w:themeColor="text1"/>
                <w:highlight w:val="none"/>
                <w14:textFill>
                  <w14:solidFill>
                    <w14:schemeClr w14:val="tx1"/>
                  </w14:solidFill>
                </w14:textFill>
              </w:rPr>
              <w:t xml:space="preserve">与中标、成交供应商应当在中标、成交通知书发出之日起</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30</w:t>
            </w:r>
            <w:r>
              <w:rPr>
                <w:rFonts w:hint="eastAsia" w:ascii="宋体" w:hAnsi="宋体" w:eastAsia="宋体" w:cs="宋体"/>
                <w:color w:val="000000" w:themeColor="text1"/>
                <w:highlight w:val="none"/>
                <w14:textFill>
                  <w14:solidFill>
                    <w14:schemeClr w14:val="tx1"/>
                  </w14:solidFill>
                </w14:textFill>
              </w:rPr>
              <w:t xml:space="preserve">日内，按照采购文件确定的事项签订采购合同。</w:t>
            </w:r>
            <w:r/>
          </w:p>
        </w:tc>
      </w:tr>
      <w:tr>
        <w:trPr>
          <w:trHeight w:val="2575"/>
        </w:trPr>
        <w:tc>
          <w:tcPr>
            <w:tcW w:w="1246"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w:t>
            </w:r>
            <w:r>
              <w:rPr>
                <w:rFonts w:hint="eastAsia" w:ascii="宋体" w:hAnsi="宋体" w:eastAsia="宋体" w:cs="宋体"/>
                <w:color w:val="000000" w:themeColor="text1"/>
                <w:highlight w:val="none"/>
                <w:lang w:val="en-US" w:eastAsia="zh-CN"/>
                <w14:textFill>
                  <w14:solidFill>
                    <w14:schemeClr w14:val="tx1"/>
                  </w14:solidFill>
                </w14:textFill>
              </w:rPr>
              <w:t xml:space="preserve">9</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6</w:t>
            </w:r>
            <w:r/>
          </w:p>
        </w:tc>
        <w:tc>
          <w:tcPr>
            <w:tcW w:w="8386" w:type="dxa"/>
            <w:vAlign w:val="top"/>
            <w:textDirection w:val="lrTb"/>
            <w:noWrap w:val="false"/>
          </w:tcPr>
          <w:p>
            <w:pPr>
              <w:pStyle w:val="1517"/>
              <w:ind w:firstLine="480"/>
              <w:spacing w:after="0" w:line="400" w:lineRule="exact"/>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履约保证金</w:t>
            </w:r>
            <w:r/>
          </w:p>
          <w:p>
            <w:pPr>
              <w:pStyle w:val="1517"/>
              <w:ind w:firstLine="480"/>
              <w:spacing w:after="0" w:line="400" w:lineRule="exact"/>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□不要求提交履约保证金</w:t>
            </w:r>
            <w:r>
              <w:rPr>
                <w:rFonts w:hint="eastAsia" w:ascii="宋体" w:hAnsi="宋体" w:cs="宋体"/>
                <w:color w:val="000000" w:themeColor="text1"/>
                <w:highlight w:val="none"/>
                <w:lang w:eastAsia="zh-CN"/>
                <w14:textFill>
                  <w14:solidFill>
                    <w14:schemeClr w14:val="tx1"/>
                  </w14:solidFill>
                </w14:textFill>
              </w:rPr>
              <w:t xml:space="preserve">。</w:t>
            </w:r>
            <w:r/>
          </w:p>
          <w:p>
            <w:pPr>
              <w:pStyle w:val="1517"/>
              <w:ind w:firstLine="480"/>
              <w:spacing w:after="0" w:line="400" w:lineRule="exact"/>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2.</w:t>
            </w:r>
            <w:r>
              <w:rPr>
                <w:rFonts w:ascii="Wingdings" w:hAnsi="Wingdings" w:eastAsia="Wingdings" w:cs="Wingdings"/>
                <w:color w:val="000000" w:themeColor="text1"/>
                <w:highlight w:val="none"/>
                <w14:textFill>
                  <w14:solidFill>
                    <w14:schemeClr w14:val="tx1"/>
                  </w14:solidFill>
                </w14:textFill>
              </w:rPr>
              <w:t xml:space="preserve">þ</w:t>
            </w:r>
            <w:r>
              <w:rPr>
                <w:rFonts w:hint="eastAsia" w:ascii="宋体" w:hAnsi="宋体" w:cs="宋体"/>
                <w:color w:val="000000" w:themeColor="text1"/>
                <w:highlight w:val="none"/>
                <w14:textFill>
                  <w14:solidFill>
                    <w14:schemeClr w14:val="tx1"/>
                  </w14:solidFill>
                </w14:textFill>
              </w:rPr>
              <w:t xml:space="preserve">要求提交履约保证金：</w:t>
            </w:r>
            <w:r>
              <w:rPr>
                <w:rFonts w:hint="eastAsia" w:ascii="宋体" w:hAnsi="宋体" w:cs="宋体"/>
                <w:color w:val="000000" w:themeColor="text1"/>
                <w:highlight w:val="none"/>
                <w:lang w:val="en-US" w:eastAsia="zh-CN"/>
                <w14:textFill>
                  <w14:solidFill>
                    <w14:schemeClr w14:val="tx1"/>
                  </w14:solidFill>
                </w14:textFill>
              </w:rPr>
              <w:t xml:space="preserve">中标供应商</w:t>
            </w:r>
            <w:r>
              <w:rPr>
                <w:rFonts w:hint="eastAsia" w:ascii="宋体" w:hAnsi="宋体" w:cs="宋体"/>
                <w:color w:val="000000" w:themeColor="text1"/>
                <w:highlight w:val="none"/>
                <w14:textFill>
                  <w14:solidFill>
                    <w14:schemeClr w14:val="tx1"/>
                  </w14:solidFill>
                </w14:textFill>
              </w:rPr>
              <w:t xml:space="preserve">交纳</w:t>
            </w:r>
            <w:r>
              <w:rPr>
                <w:rFonts w:hint="eastAsia" w:ascii="宋体" w:hAnsi="宋体" w:cs="宋体"/>
                <w:color w:val="000000" w:themeColor="text1"/>
                <w:highlight w:val="none"/>
                <w:lang w:val="en-US" w:eastAsia="zh-CN"/>
                <w14:textFill>
                  <w14:solidFill>
                    <w14:schemeClr w14:val="tx1"/>
                  </w14:solidFill>
                </w14:textFill>
              </w:rPr>
              <w:t xml:space="preserve">人民币</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lang w:val="en-US" w:eastAsia="zh-CN"/>
                <w14:textFill>
                  <w14:solidFill>
                    <w14:schemeClr w14:val="tx1"/>
                  </w14:solidFill>
                </w14:textFill>
              </w:rPr>
              <w:t xml:space="preserve">贰拾万元</w:t>
            </w:r>
            <w:r>
              <w:rPr>
                <w:rFonts w:hint="eastAsia" w:ascii="宋体" w:hAnsi="宋体" w:cs="宋体"/>
                <w:color w:val="000000" w:themeColor="text1"/>
                <w:highlight w:val="none"/>
                <w:u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作为本合同的履约保证金。中标</w:t>
            </w:r>
            <w:r>
              <w:rPr>
                <w:rFonts w:hint="eastAsia" w:ascii="宋体" w:hAnsi="宋体" w:cs="宋体"/>
                <w:color w:val="000000" w:themeColor="text1"/>
                <w:highlight w:val="none"/>
                <w:lang w:val="en-US" w:eastAsia="zh-CN"/>
                <w14:textFill>
                  <w14:solidFill>
                    <w14:schemeClr w14:val="tx1"/>
                  </w14:solidFill>
                </w14:textFill>
              </w:rPr>
              <w:t xml:space="preserve">供应商</w:t>
            </w:r>
            <w:r>
              <w:rPr>
                <w:rFonts w:hint="eastAsia" w:ascii="宋体" w:hAnsi="宋体" w:cs="宋体"/>
                <w:color w:val="000000" w:themeColor="text1"/>
                <w:highlight w:val="none"/>
                <w14:textFill>
                  <w14:solidFill>
                    <w14:schemeClr w14:val="tx1"/>
                  </w14:solidFill>
                </w14:textFill>
              </w:rPr>
              <w:t xml:space="preserve">应当以支票、汇票、本票或者金融机构、担保机构出具的保函等非现金形式提交。</w:t>
            </w:r>
            <w:r/>
          </w:p>
          <w:p>
            <w:pPr>
              <w:pStyle w:val="1311"/>
              <w:ind w:firstLine="480"/>
              <w:spacing w:after="0" w:line="400" w:lineRule="exact"/>
              <w:rPr>
                <w:rFonts w:hint="eastAsia"/>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注：</w:t>
            </w:r>
            <w:r>
              <w:rPr>
                <w:rFonts w:hint="eastAsia" w:ascii="宋体" w:hAnsi="宋体" w:cs="宋体"/>
                <w:color w:val="000000" w:themeColor="text1"/>
                <w:highlight w:val="none"/>
                <w14:textFill>
                  <w14:solidFill>
                    <w14:schemeClr w14:val="tx1"/>
                  </w14:solidFill>
                </w14:textFill>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tc>
      </w:tr>
      <w:tr>
        <w:trPr>
          <w:trHeight w:val="90"/>
        </w:trPr>
        <w:tc>
          <w:tcPr>
            <w:tcW w:w="1246" w:type="dxa"/>
            <w:vAlign w:val="top"/>
            <w:textDirection w:val="lrTb"/>
            <w:noWrap w:val="false"/>
          </w:tcPr>
          <w:p>
            <w:pPr>
              <w:ind w:firstLine="0"/>
              <w:jc w:val="center"/>
              <w:spacing w:line="400" w:lineRule="exact"/>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41.</w:t>
            </w:r>
            <w:r/>
          </w:p>
        </w:tc>
        <w:tc>
          <w:tcPr>
            <w:tcW w:w="8386" w:type="dxa"/>
            <w:vAlign w:val="top"/>
            <w:textDirection w:val="lrTb"/>
            <w:noWrap w:val="false"/>
          </w:tcPr>
          <w:p>
            <w:pPr>
              <w:pStyle w:val="1517"/>
              <w:ind w:firstLine="480"/>
              <w:spacing w:after="0" w:line="4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政府采购履约资金扶持政策</w:t>
            </w:r>
            <w:r/>
          </w:p>
          <w:p>
            <w:pPr>
              <w:pStyle w:val="1311"/>
              <w:ind w:firstLine="480"/>
              <w:spacing w:after="0" w:line="40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中标供应商可凭政府采购合同办理融资贷款，详情请见江苏政府采购网“政采贷”专栏。</w:t>
            </w:r>
            <w:r/>
          </w:p>
        </w:tc>
      </w:tr>
      <w:tr>
        <w:trPr>
          <w:trHeight w:val="90"/>
        </w:trPr>
        <w:tc>
          <w:tcPr>
            <w:tcW w:w="1246"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6</w:t>
            </w:r>
            <w:r/>
          </w:p>
        </w:tc>
        <w:tc>
          <w:tcPr>
            <w:tcW w:w="8386" w:type="dxa"/>
            <w:vAlign w:val="top"/>
            <w:textDirection w:val="lrTb"/>
            <w:noWrap w:val="false"/>
          </w:tcPr>
          <w:p>
            <w:pPr>
              <w:pStyle w:val="1349"/>
              <w:ind w:firstLine="480"/>
              <w:spacing w:line="40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根据丰县公共资源交易中心与</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丰县大数据管理中心</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（采购人）签订的本采购项目的《委托代理协议》，供应商对政府采购活动事项有疑问的，向</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丰县大数据管理中心</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（采购人）提出询问；供应商认为采购文件、采购过程和中标、成交结果使自己的权益受到损害的，可以在知道或者应知其权益受到损害之日起七个工作日内，以书面形式向</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丰县大数据管理中心</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（采购人）提出质疑。询问和质疑由</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丰县大数据管理中心</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（采购人）依法处理。</w:t>
            </w:r>
            <w:r/>
          </w:p>
          <w:p>
            <w:pPr>
              <w:ind w:firstLine="480"/>
              <w:spacing w:line="40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联系部门：丰县大数据管理中心</w:t>
            </w:r>
            <w:r/>
          </w:p>
          <w:p>
            <w:pPr>
              <w:ind w:firstLine="439"/>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联系电话：0516-89268305</w:t>
            </w:r>
            <w:r/>
          </w:p>
          <w:p>
            <w:pPr>
              <w:ind w:firstLine="439"/>
              <w:jc w:val="left"/>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通讯地址：江苏省徐州市丰县南苑东路35号</w:t>
            </w:r>
            <w:r/>
          </w:p>
        </w:tc>
      </w:tr>
      <w:tr>
        <w:trPr>
          <w:trHeight w:val="1295"/>
        </w:trPr>
        <w:tc>
          <w:tcPr>
            <w:tcW w:w="1246" w:type="dxa"/>
            <w:vAlign w:val="top"/>
            <w:textDirection w:val="lrTb"/>
            <w:noWrap w:val="false"/>
          </w:tcPr>
          <w:p>
            <w:pPr>
              <w:ind w:firstLine="0"/>
              <w:jc w:val="center"/>
              <w:spacing w:line="24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附加</w:t>
            </w:r>
            <w:r/>
          </w:p>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说明</w:t>
            </w:r>
            <w:r/>
          </w:p>
        </w:tc>
        <w:tc>
          <w:tcPr>
            <w:tcW w:w="8386" w:type="dxa"/>
            <w:vAlign w:val="top"/>
            <w:textDirection w:val="lrTb"/>
            <w:noWrap w:val="false"/>
          </w:tcPr>
          <w:p>
            <w:pPr>
              <w:pStyle w:val="1311"/>
              <w:ind w:firstLine="480"/>
              <w:spacing w:after="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中标人在收到中标通知书时，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须</w:t>
            </w:r>
            <w:r>
              <w:rPr>
                <w:rFonts w:hint="eastAsia" w:ascii="宋体" w:hAnsi="宋体" w:eastAsia="宋体" w:cs="宋体"/>
                <w:color w:val="000000" w:themeColor="text1"/>
                <w:sz w:val="24"/>
                <w:szCs w:val="24"/>
                <w:highlight w:val="none"/>
                <w14:textFill>
                  <w14:solidFill>
                    <w14:schemeClr w14:val="tx1"/>
                  </w14:solidFill>
                </w14:textFill>
              </w:rPr>
              <w:t xml:space="preserve">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丰县</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公共资源交易中心提供</w:t>
            </w:r>
            <w:r>
              <w:rPr>
                <w:rFonts w:hint="eastAsia" w:ascii="宋体" w:hAnsi="宋体" w:eastAsia="宋体" w:cs="宋体"/>
                <w:color w:val="000000" w:themeColor="text1"/>
                <w:sz w:val="24"/>
                <w:szCs w:val="24"/>
                <w:highlight w:val="none"/>
                <w14:textFill>
                  <w14:solidFill>
                    <w14:schemeClr w14:val="tx1"/>
                  </w14:solidFill>
                </w14:textFill>
              </w:rPr>
              <w:t xml:space="preserve">纸质投标文件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份（正本1份，副本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纸质投标文件内容须与中标人所提交的电子投标文件一致。</w:t>
            </w:r>
            <w:r/>
          </w:p>
        </w:tc>
      </w:tr>
    </w:tbl>
    <w:p>
      <w:pPr>
        <w:rPr>
          <w:rFonts w:hint="eastAsia" w:ascii="宋体" w:hAnsi="宋体" w:eastAsia="宋体" w:cs="宋体"/>
          <w:color w:val="000000" w:themeColor="text1"/>
          <w:highlight w:val="none"/>
          <w14:textFill>
            <w14:solidFill>
              <w14:schemeClr w14:val="tx1"/>
            </w14:solidFill>
          </w14:textFill>
        </w:rPr>
      </w:pPr>
      <w:r/>
      <w:bookmarkStart w:id="8" w:name="_Toc484939575"/>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宋体" w:hAnsi="宋体" w:eastAsia="宋体" w:cs="宋体"/>
          <w:b/>
          <w:bCs/>
          <w:color w:val="000000" w:themeColor="text1"/>
          <w:sz w:val="36"/>
          <w:szCs w:val="32"/>
          <w:highlight w:val="none"/>
          <w:lang w:val="en-US" w:eastAsia="zh-CN" w:bidi="ar-SA"/>
          <w14:textFill>
            <w14:solidFill>
              <w14:schemeClr w14:val="tx1"/>
            </w14:solidFill>
          </w14:textFill>
        </w:rPr>
      </w:pPr>
      <w:r/>
      <w:bookmarkStart w:id="9" w:name="_Toc9360"/>
      <w:r>
        <w:rPr>
          <w:rFonts w:hint="eastAsia" w:ascii="宋体" w:hAnsi="宋体" w:eastAsia="宋体" w:cs="宋体"/>
          <w:b/>
          <w:bCs/>
          <w:color w:val="000000" w:themeColor="text1"/>
          <w:sz w:val="36"/>
          <w:szCs w:val="32"/>
          <w:highlight w:val="none"/>
          <w:lang w:val="en-US" w:eastAsia="zh-CN" w:bidi="ar-SA"/>
          <w14:textFill>
            <w14:solidFill>
              <w14:schemeClr w14:val="tx1"/>
            </w14:solidFill>
          </w14:textFill>
        </w:rPr>
        <w:br w:type="page" w:clear="all"/>
      </w:r>
      <w:r/>
    </w:p>
    <w:p>
      <w:pPr>
        <w:pStyle w:val="1347"/>
        <w:numPr>
          <w:ilvl w:val="0"/>
          <w:numId w:val="0"/>
        </w:numPr>
        <w:jc w:val="center"/>
        <w:keepLines w:val="0"/>
        <w:keepNext w:val="0"/>
        <w:pageBreakBefore w:val="0"/>
        <w:spacing w:before="0" w:after="0" w:line="24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 w:val="36"/>
          <w:szCs w:val="32"/>
          <w:highlight w:val="none"/>
          <w:lang w:val="en-US" w:eastAsia="zh-CN" w:bidi="ar-SA"/>
          <w14:textFill>
            <w14:solidFill>
              <w14:schemeClr w14:val="tx1"/>
            </w14:solidFill>
          </w14:textFill>
        </w:rPr>
        <w:t xml:space="preserve">第四章 </w:t>
      </w:r>
      <w:r>
        <w:rPr>
          <w:rFonts w:hint="eastAsia" w:ascii="宋体" w:hAnsi="宋体" w:eastAsia="宋体" w:cs="宋体"/>
          <w:color w:val="000000" w:themeColor="text1"/>
          <w:highlight w:val="none"/>
          <w14:textFill>
            <w14:solidFill>
              <w14:schemeClr w14:val="tx1"/>
            </w14:solidFill>
          </w14:textFill>
        </w:rPr>
        <w:t xml:space="preserve">评标标准</w:t>
      </w:r>
      <w:bookmarkEnd w:id="9"/>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bl>
      <w:tblPr>
        <w:tblStyle w:val="1105"/>
        <w:tblW w:w="9940" w:type="dxa"/>
        <w:jc w:val="center"/>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05"/>
        <w:gridCol w:w="1236"/>
        <w:gridCol w:w="7223"/>
        <w:gridCol w:w="776"/>
      </w:tblGrid>
      <w:tr>
        <w:trPr>
          <w:jc w:val="center"/>
          <w:trHeight w:val="897"/>
        </w:trPr>
        <w:tc>
          <w:tcPr>
            <w:gridSpan w:val="2"/>
            <w:tcW w:w="1941" w:type="dxa"/>
            <w:vAlign w:val="center"/>
            <w:textDirection w:val="lrTb"/>
            <w:noWrap w:val="false"/>
          </w:tcPr>
          <w:p>
            <w:pPr>
              <w:ind w:firstLine="0"/>
              <w:jc w:val="center"/>
              <w:keepLines w:val="0"/>
              <w:keepNext w:val="0"/>
              <w:pageBreakBefore w:val="0"/>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评审因素</w:t>
            </w:r>
            <w:r/>
          </w:p>
        </w:tc>
        <w:tc>
          <w:tcPr>
            <w:tcBorders>
              <w:right w:val="single" w:color="000000" w:sz="4" w:space="0"/>
            </w:tcBorders>
            <w:tcW w:w="7223" w:type="dxa"/>
            <w:vAlign w:val="center"/>
            <w:textDirection w:val="lrTb"/>
            <w:noWrap w:val="false"/>
          </w:tcPr>
          <w:p>
            <w:pPr>
              <w:ind w:firstLine="0"/>
              <w:jc w:val="center"/>
              <w:keepLines w:val="0"/>
              <w:keepNext w:val="0"/>
              <w:pageBreakBefore w:val="0"/>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评审因素细化和量化</w:t>
            </w:r>
            <w:r/>
          </w:p>
        </w:tc>
        <w:tc>
          <w:tcPr>
            <w:tcBorders>
              <w:left w:val="single" w:color="000000" w:sz="4" w:space="0"/>
            </w:tcBorders>
            <w:tcW w:w="776" w:type="dxa"/>
            <w:vAlign w:val="center"/>
            <w:textDirection w:val="lrTb"/>
            <w:noWrap w:val="false"/>
          </w:tcPr>
          <w:p>
            <w:pPr>
              <w:ind w:firstLine="0"/>
              <w:jc w:val="center"/>
              <w:keepLines w:val="0"/>
              <w:keepNext w:val="0"/>
              <w:pageBreakBefore w:val="0"/>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是否客观分</w:t>
            </w:r>
            <w:r/>
          </w:p>
        </w:tc>
      </w:tr>
      <w:tr>
        <w:trPr>
          <w:jc w:val="center"/>
          <w:trHeight w:val="1022"/>
        </w:trPr>
        <w:tc>
          <w:tcPr>
            <w:gridSpan w:val="2"/>
            <w:tcW w:w="1941" w:type="dxa"/>
            <w:vAlign w:val="center"/>
            <w:textDirection w:val="lrTb"/>
            <w:noWrap w:val="false"/>
          </w:tcPr>
          <w:p>
            <w:pPr>
              <w:ind w:firstLine="0"/>
              <w:jc w:val="center"/>
              <w:keepLines w:val="0"/>
              <w:keepNext w:val="0"/>
              <w:pageBreakBefore w:val="0"/>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价格部分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c>
          <w:tcPr>
            <w:tcBorders>
              <w:right w:val="single" w:color="000000" w:sz="4" w:space="0"/>
            </w:tcBorders>
            <w:tcW w:w="7223" w:type="dxa"/>
            <w:vAlign w:val="center"/>
            <w:textDirection w:val="lrTb"/>
            <w:noWrap w:val="false"/>
          </w:tcPr>
          <w:p>
            <w:pPr>
              <w:ind w:left="0" w:firstLine="480"/>
              <w:keepLines w:val="0"/>
              <w:keepNext w:val="0"/>
              <w:pageBreakBefore w:val="0"/>
              <w:spacing w:line="30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各投标人价格得分=投标人的最低评审价格÷各投标人评审价格×10；</w:t>
            </w:r>
            <w:r/>
          </w:p>
          <w:p>
            <w:pPr>
              <w:ind w:left="0" w:firstLine="480"/>
              <w:keepLines w:val="0"/>
              <w:keepNext w:val="0"/>
              <w:pageBreakBefore w:val="0"/>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投标人的评审价格=1-《开标一览表》中的“优惠率”。</w:t>
            </w:r>
            <w:r/>
          </w:p>
        </w:tc>
        <w:tc>
          <w:tcPr>
            <w:tcBorders>
              <w:left w:val="single" w:color="000000" w:sz="4" w:space="0"/>
            </w:tcBorders>
            <w:tcW w:w="776" w:type="dxa"/>
            <w:vAlign w:val="center"/>
            <w:textDirection w:val="lrTb"/>
            <w:noWrap w:val="false"/>
          </w:tcPr>
          <w:p>
            <w:pPr>
              <w:ind w:firstLine="0"/>
              <w:jc w:val="center"/>
              <w:keepLines w:val="0"/>
              <w:keepNext w:val="0"/>
              <w:pageBreakBefore w:val="0"/>
              <w:spacing w:line="3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是</w:t>
            </w:r>
            <w:r/>
          </w:p>
        </w:tc>
      </w:tr>
      <w:tr>
        <w:trPr>
          <w:jc w:val="center"/>
          <w:trHeight w:val="975"/>
        </w:trPr>
        <w:tc>
          <w:tcPr>
            <w:tcW w:w="705" w:type="dxa"/>
            <w:vAlign w:val="center"/>
            <w:vMerge w:val="restart"/>
            <w:textDirection w:val="lrTb"/>
            <w:noWrap w:val="false"/>
          </w:tcPr>
          <w:p>
            <w:pPr>
              <w:ind w:left="0" w:firstLine="0"/>
              <w:jc w:val="center"/>
              <w:keepLines w:val="0"/>
              <w:keepNext w:val="0"/>
              <w:pageBreakBefore w:val="0"/>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技术</w:t>
            </w:r>
            <w:r/>
          </w:p>
          <w:p>
            <w:pPr>
              <w:ind w:left="0" w:firstLine="0"/>
              <w:jc w:val="center"/>
              <w:keepLines w:val="0"/>
              <w:keepNext w:val="0"/>
              <w:pageBreakBefore w:val="0"/>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部分</w:t>
            </w:r>
            <w:r/>
          </w:p>
          <w:p>
            <w:pPr>
              <w:ind w:left="0" w:firstLine="0"/>
              <w:jc w:val="center"/>
              <w:keepLines w:val="0"/>
              <w:keepNext w:val="0"/>
              <w:pageBreakBefore w:val="0"/>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Borders>
              <w:bottom w:val="single" w:color="auto" w:sz="4" w:space="0"/>
            </w:tcBorders>
            <w:tcW w:w="1236" w:type="dxa"/>
            <w:vAlign w:val="center"/>
            <w:textDirection w:val="lrTb"/>
            <w:noWrap w:val="false"/>
          </w:tcPr>
          <w:p>
            <w:pPr>
              <w:ind w:left="0" w:firstLine="0"/>
              <w:jc w:val="center"/>
              <w:keepLines w:val="0"/>
              <w:keepNext w:val="0"/>
              <w:pageBreakBefore w:val="0"/>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云服务技术参数响应表</w:t>
            </w:r>
            <w:r/>
          </w:p>
          <w:p>
            <w:pPr>
              <w:ind w:left="0" w:firstLine="0"/>
              <w:jc w:val="center"/>
              <w:keepLines w:val="0"/>
              <w:keepNext w:val="0"/>
              <w:pageBreakBefore w:val="0"/>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Borders>
              <w:right w:val="single" w:color="000000" w:sz="4" w:space="0"/>
            </w:tcBorders>
            <w:tcW w:w="7223" w:type="dxa"/>
            <w:vAlign w:val="center"/>
            <w:textDirection w:val="lrTb"/>
            <w:noWrap w:val="false"/>
          </w:tcPr>
          <w:p>
            <w:pPr>
              <w:ind w:left="0" w:firstLine="480"/>
              <w:keepLines w:val="0"/>
              <w:keepNext w:val="0"/>
              <w:pageBreakBefore w:val="0"/>
              <w:spacing w:line="300" w:lineRule="exact"/>
              <w:tabs>
                <w:tab w:val="left" w:pos="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根据招标文件第六章《采购需求》</w:t>
            </w:r>
            <w:r>
              <w:rPr>
                <w:rFonts w:hint="eastAsia" w:ascii="宋体" w:hAnsi="宋体" w:eastAsia="宋体" w:cs="宋体"/>
                <w:color w:val="000000" w:themeColor="text1"/>
                <w:sz w:val="24"/>
                <w:szCs w:val="24"/>
                <w:highlight w:val="none"/>
                <w14:textFill>
                  <w14:solidFill>
                    <w14:schemeClr w14:val="tx1"/>
                  </w14:solidFill>
                </w14:textFill>
              </w:rPr>
              <w:t xml:space="preserve">中</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“二、技术要求”中</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四、云平台技术要求”，制定“技术参数响应表”进行逐项响应。全部满足招标文件要求的得满分23分，</w:t>
            </w:r>
            <w:r>
              <w:rPr>
                <w:rFonts w:hint="eastAsia" w:ascii="宋体" w:hAnsi="宋体" w:eastAsia="宋体" w:cs="宋体"/>
                <w:color w:val="000000" w:themeColor="text1"/>
                <w:sz w:val="24"/>
                <w:szCs w:val="24"/>
                <w:highlight w:val="none"/>
                <w14:textFill>
                  <w14:solidFill>
                    <w14:schemeClr w14:val="tx1"/>
                  </w14:solidFill>
                </w14:textFill>
              </w:rPr>
              <w:t xml:space="preserve">“▲”号项技术参数每有一项负偏离扣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分，其他参数部分每有一项负偏离扣0.5分，扣完为止。</w:t>
            </w:r>
            <w:r/>
          </w:p>
        </w:tc>
        <w:tc>
          <w:tcPr>
            <w:tcBorders>
              <w:left w:val="single" w:color="000000" w:sz="4" w:space="0"/>
            </w:tcBorders>
            <w:tcW w:w="776" w:type="dxa"/>
            <w:vAlign w:val="center"/>
            <w:textDirection w:val="lrTb"/>
            <w:noWrap w:val="false"/>
          </w:tcPr>
          <w:p>
            <w:pPr>
              <w:pStyle w:val="1511"/>
              <w:ind w:firstLine="0"/>
              <w:jc w:val="center"/>
              <w:keepLines w:val="0"/>
              <w:keepNext w:val="0"/>
              <w:pageBreakBefore w:val="0"/>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是</w:t>
            </w:r>
            <w:r/>
          </w:p>
        </w:tc>
      </w:tr>
      <w:tr>
        <w:trPr>
          <w:jc w:val="center"/>
          <w:trHeight w:val="975"/>
        </w:trPr>
        <w:tc>
          <w:tcPr>
            <w:tcW w:w="705" w:type="dxa"/>
            <w:vAlign w:val="center"/>
            <w:vMerge w:val="continue"/>
            <w:textDirection w:val="lrTb"/>
            <w:noWrap w:val="false"/>
          </w:tcPr>
          <w:p>
            <w:pPr>
              <w:ind w:firstLine="0"/>
              <w:jc w:val="center"/>
              <w:keepLines w:val="0"/>
              <w:keepNext w:val="0"/>
              <w:pageBreakBefore w:val="0"/>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bottom w:val="single" w:color="auto" w:sz="4" w:space="0"/>
            </w:tcBorders>
            <w:tcW w:w="1236" w:type="dxa"/>
            <w:vAlign w:val="center"/>
            <w:textDirection w:val="lrTb"/>
            <w:noWrap w:val="false"/>
          </w:tcPr>
          <w:p>
            <w:pPr>
              <w:ind w:left="0" w:firstLine="0"/>
              <w:jc w:val="center"/>
              <w:keepLines w:val="0"/>
              <w:keepNext w:val="0"/>
              <w:pageBreakBefore w:val="0"/>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项目需求理解与分析</w:t>
            </w:r>
            <w:r/>
          </w:p>
          <w:p>
            <w:pPr>
              <w:ind w:firstLine="0"/>
              <w:jc w:val="center"/>
              <w:keepLines w:val="0"/>
              <w:keepNext w:val="0"/>
              <w:pageBreakBefore w:val="0"/>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Borders>
              <w:right w:val="single" w:color="000000" w:sz="4" w:space="0"/>
            </w:tcBorders>
            <w:tcW w:w="7223" w:type="dxa"/>
            <w:vAlign w:val="center"/>
            <w:textDirection w:val="lrTb"/>
            <w:noWrap w:val="false"/>
          </w:tcPr>
          <w:p>
            <w:pPr>
              <w:ind w:left="0" w:firstLine="480"/>
              <w:keepLines w:val="0"/>
              <w:keepNext w:val="0"/>
              <w:pageBreakBefore w:val="0"/>
              <w:spacing w:line="300" w:lineRule="exact"/>
              <w:tabs>
                <w:tab w:val="left" w:pos="0"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根据招标文件第六章《采购需求》中“二、技术要求”中“（一）项目概况”（共3项内容）进行完善，且表述具体方案措施。</w:t>
            </w:r>
            <w:r/>
          </w:p>
          <w:p>
            <w:pPr>
              <w:pStyle w:val="1511"/>
              <w:ind w:left="0" w:firstLine="480"/>
              <w:jc w:val="left"/>
              <w:keepLines w:val="0"/>
              <w:keepNext w:val="0"/>
              <w:pageBreakBefore w:val="0"/>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分，每缺少一项内容扣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分，扣完为止；单项内容每存在一处缺陷扣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分，单项内容分扣完为止。</w:t>
            </w:r>
            <w:r/>
          </w:p>
          <w:p>
            <w:pPr>
              <w:pStyle w:val="1106"/>
              <w:ind w:left="0" w:right="0" w:firstLine="480"/>
              <w:keepLines w:val="0"/>
              <w:keepNext w:val="0"/>
              <w:pageBreakBefore w:val="0"/>
              <w:spacing w:after="0"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未提供的得0分，本项最高得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分，最低得0分。</w:t>
            </w:r>
            <w:r/>
          </w:p>
        </w:tc>
        <w:tc>
          <w:tcPr>
            <w:tcBorders>
              <w:left w:val="single" w:color="000000" w:sz="4" w:space="0"/>
            </w:tcBorders>
            <w:tcW w:w="776" w:type="dxa"/>
            <w:vAlign w:val="center"/>
            <w:textDirection w:val="lrTb"/>
            <w:noWrap w:val="false"/>
          </w:tcPr>
          <w:p>
            <w:pPr>
              <w:ind w:firstLine="0"/>
              <w:jc w:val="center"/>
              <w:keepLines w:val="0"/>
              <w:keepNext w:val="0"/>
              <w:pageBreakBefore w:val="0"/>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否</w:t>
            </w:r>
            <w:r/>
          </w:p>
        </w:tc>
      </w:tr>
      <w:tr>
        <w:trPr>
          <w:jc w:val="center"/>
          <w:trHeight w:val="597"/>
        </w:trPr>
        <w:tc>
          <w:tcPr>
            <w:tcW w:w="705" w:type="dxa"/>
            <w:vAlign w:val="center"/>
            <w:vMerge w:val="continue"/>
            <w:textDirection w:val="lrTb"/>
            <w:noWrap w:val="false"/>
          </w:tcPr>
          <w:p>
            <w:pPr>
              <w:ind w:firstLine="0"/>
              <w:keepLines w:val="0"/>
              <w:keepNext w:val="0"/>
              <w:pageBreakBefore w:val="0"/>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bottom w:val="single" w:color="auto" w:sz="4" w:space="0"/>
            </w:tcBorders>
            <w:tcW w:w="1236" w:type="dxa"/>
            <w:vAlign w:val="center"/>
            <w:textDirection w:val="lrTb"/>
            <w:noWrap w:val="false"/>
          </w:tcPr>
          <w:p>
            <w:pPr>
              <w:ind w:left="0" w:firstLine="0"/>
              <w:jc w:val="center"/>
              <w:keepLines w:val="0"/>
              <w:keepNext w:val="0"/>
              <w:pageBreakBefore w:val="0"/>
              <w:spacing w:line="30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总体技术方案</w:t>
            </w:r>
            <w:r/>
          </w:p>
          <w:p>
            <w:pPr>
              <w:ind w:left="0" w:firstLine="0"/>
              <w:jc w:val="center"/>
              <w:keepLines w:val="0"/>
              <w:keepNext w:val="0"/>
              <w:pageBreakBefore w:val="0"/>
              <w:spacing w:line="30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w:t>
            </w:r>
            <w:r/>
          </w:p>
        </w:tc>
        <w:tc>
          <w:tcPr>
            <w:tcBorders>
              <w:right w:val="single" w:color="000000" w:sz="4" w:space="0"/>
            </w:tcBorders>
            <w:tcW w:w="7223" w:type="dxa"/>
            <w:vAlign w:val="center"/>
            <w:textDirection w:val="lrTb"/>
            <w:noWrap w:val="false"/>
          </w:tcPr>
          <w:p>
            <w:pPr>
              <w:ind w:left="0" w:firstLine="480"/>
              <w:keepLines w:val="0"/>
              <w:keepNext w:val="0"/>
              <w:pageBreakBefore w:val="0"/>
              <w:spacing w:line="300" w:lineRule="exact"/>
              <w:tabs>
                <w:tab w:val="left" w:pos="0" w:leader="none"/>
              </w:tabs>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根据招标文件第六章《采购需求》中“二、技术要求”中“（三）总体技术要求”</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共</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项内容</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进行完善，且表述具体方案措施。</w:t>
            </w:r>
            <w:r/>
          </w:p>
          <w:p>
            <w:pPr>
              <w:pStyle w:val="1511"/>
              <w:ind w:left="0" w:firstLine="480"/>
              <w:jc w:val="left"/>
              <w:keepLines w:val="0"/>
              <w:keepNext w:val="0"/>
              <w:pageBreakBefore w:val="0"/>
              <w:spacing w:line="30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分，每缺少一项内容扣</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分，扣完为止；单项内容每存在一处缺陷扣0.5分，单项内容分扣完为止。</w:t>
            </w:r>
            <w:r/>
          </w:p>
          <w:p>
            <w:pPr>
              <w:pStyle w:val="1511"/>
              <w:ind w:left="0" w:firstLine="480"/>
              <w:jc w:val="left"/>
              <w:keepLines w:val="0"/>
              <w:keepNext w:val="0"/>
              <w:pageBreakBefore w:val="0"/>
              <w:spacing w:line="30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未提供的得0分，本项最高得1</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分，最低得0分。</w:t>
            </w:r>
            <w:r/>
          </w:p>
        </w:tc>
        <w:tc>
          <w:tcPr>
            <w:tcBorders>
              <w:left w:val="single" w:color="000000" w:sz="4" w:space="0"/>
            </w:tcBorders>
            <w:tcW w:w="776" w:type="dxa"/>
            <w:vAlign w:val="center"/>
            <w:textDirection w:val="lrTb"/>
            <w:noWrap w:val="false"/>
          </w:tcPr>
          <w:p>
            <w:pPr>
              <w:ind w:firstLine="0"/>
              <w:jc w:val="center"/>
              <w:keepLines w:val="0"/>
              <w:keepNext w:val="0"/>
              <w:pageBreakBefore w:val="0"/>
              <w:spacing w:line="30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否</w:t>
            </w:r>
            <w:r/>
          </w:p>
        </w:tc>
      </w:tr>
      <w:tr>
        <w:trPr>
          <w:jc w:val="center"/>
          <w:trHeight w:val="597"/>
        </w:trPr>
        <w:tc>
          <w:tcPr>
            <w:tcW w:w="705" w:type="dxa"/>
            <w:vAlign w:val="center"/>
            <w:vMerge w:val="continue"/>
            <w:textDirection w:val="lrTb"/>
            <w:noWrap w:val="false"/>
          </w:tcPr>
          <w:p>
            <w:pPr>
              <w:ind w:firstLine="0"/>
              <w:keepLines w:val="0"/>
              <w:keepNext w:val="0"/>
              <w:pageBreakBefore w:val="0"/>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bottom w:val="single" w:color="auto" w:sz="4" w:space="0"/>
            </w:tcBorders>
            <w:tcW w:w="1236" w:type="dxa"/>
            <w:vAlign w:val="center"/>
            <w:textDirection w:val="lrTb"/>
            <w:noWrap w:val="false"/>
          </w:tcPr>
          <w:p>
            <w:pPr>
              <w:ind w:left="0" w:firstLine="0"/>
              <w:jc w:val="center"/>
              <w:keepLines w:val="0"/>
              <w:keepNext w:val="0"/>
              <w:pageBreakBefore w:val="0"/>
              <w:spacing w:line="300" w:lineRule="exact"/>
              <w:rPr>
                <w:rFonts w:hint="eastAsia" w:ascii="宋体" w:hAnsi="宋体" w:eastAsia="宋体" w:cs="宋体"/>
                <w:b w:val="0"/>
                <w:bCs w:val="0"/>
                <w:strike w:val="0"/>
                <w:color w:val="000000" w:themeColor="text1"/>
                <w:sz w:val="24"/>
                <w:szCs w:val="24"/>
                <w:highlight w:val="none"/>
                <w14:textFill>
                  <w14:solidFill>
                    <w14:schemeClr w14:val="tx1"/>
                  </w14:solidFill>
                </w14:textFill>
              </w:rPr>
            </w:pPr>
            <w:r>
              <w:rPr>
                <w:rFonts w:hint="eastAsia" w:ascii="宋体" w:hAnsi="宋体" w:eastAsia="宋体" w:cs="宋体"/>
                <w:b w:val="0"/>
                <w:bCs w:val="0"/>
                <w:strike w:val="0"/>
                <w:color w:val="000000" w:themeColor="text1"/>
                <w:sz w:val="24"/>
                <w:szCs w:val="24"/>
                <w:highlight w:val="none"/>
                <w14:textFill>
                  <w14:solidFill>
                    <w14:schemeClr w14:val="tx1"/>
                  </w14:solidFill>
                </w14:textFill>
              </w:rPr>
              <w:t xml:space="preserve">迁移服务方案</w:t>
            </w:r>
            <w:r/>
          </w:p>
          <w:p>
            <w:pPr>
              <w:ind w:firstLine="0"/>
              <w:jc w:val="center"/>
              <w:keepLines w:val="0"/>
              <w:keepNext w:val="0"/>
              <w:pageBreakBefore w:val="0"/>
              <w:spacing w:line="30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strike w:val="0"/>
                <w:color w:val="000000" w:themeColor="text1"/>
                <w:sz w:val="24"/>
                <w:szCs w:val="24"/>
                <w:highlight w:val="none"/>
                <w14:textFill>
                  <w14:solidFill>
                    <w14:schemeClr w14:val="tx1"/>
                  </w14:solidFill>
                </w14:textFill>
              </w:rPr>
              <w:t xml:space="preserve">（</w:t>
            </w:r>
            <w:r>
              <w:rPr>
                <w:rFonts w:hint="eastAsia" w:ascii="宋体" w:hAnsi="宋体" w:eastAsia="宋体" w:cs="宋体"/>
                <w:b w:val="0"/>
                <w:bCs w:val="0"/>
                <w:strike w:val="0"/>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val="0"/>
                <w:bCs w:val="0"/>
                <w:strike w:val="0"/>
                <w:color w:val="000000" w:themeColor="text1"/>
                <w:sz w:val="24"/>
                <w:szCs w:val="24"/>
                <w:highlight w:val="none"/>
                <w14:textFill>
                  <w14:solidFill>
                    <w14:schemeClr w14:val="tx1"/>
                  </w14:solidFill>
                </w14:textFill>
              </w:rPr>
              <w:t xml:space="preserve">分）</w:t>
            </w:r>
            <w:r/>
          </w:p>
        </w:tc>
        <w:tc>
          <w:tcPr>
            <w:tcBorders>
              <w:right w:val="single" w:color="000000" w:sz="4" w:space="0"/>
            </w:tcBorders>
            <w:tcW w:w="7223" w:type="dxa"/>
            <w:vAlign w:val="center"/>
            <w:textDirection w:val="lrTb"/>
            <w:noWrap w:val="false"/>
          </w:tcPr>
          <w:p>
            <w:pPr>
              <w:ind w:left="0" w:firstLine="480"/>
              <w:keepLines w:val="0"/>
              <w:keepNext w:val="0"/>
              <w:pageBreakBefore w:val="0"/>
              <w:spacing w:line="300" w:lineRule="exact"/>
              <w:tabs>
                <w:tab w:val="left" w:pos="0" w:leader="none"/>
              </w:tabs>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根据招标文件第六章《采购需求》中“二、技术要求”中“（</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迁移服务要求</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w:t>
            </w:r>
            <w:r>
              <w:rPr>
                <w:rFonts w:hint="eastAsia" w:ascii="宋体" w:hAnsi="宋体" w:eastAsia="宋体" w:cs="宋体"/>
                <w:b w:val="0"/>
                <w:bCs w:val="0"/>
                <w:strike w:val="0"/>
                <w:color w:val="000000" w:themeColor="text1"/>
                <w:sz w:val="24"/>
                <w:szCs w:val="24"/>
                <w:highlight w:val="none"/>
                <w14:textFill>
                  <w14:solidFill>
                    <w14:schemeClr w14:val="tx1"/>
                  </w14:solidFill>
                </w14:textFill>
              </w:rPr>
              <w:t xml:space="preserve">（</w:t>
            </w:r>
            <w:r>
              <w:rPr>
                <w:rFonts w:hint="eastAsia" w:ascii="宋体" w:hAnsi="宋体" w:eastAsia="宋体" w:cs="宋体"/>
                <w:b w:val="0"/>
                <w:bCs w:val="0"/>
                <w:strike w:val="0"/>
                <w:color w:val="000000" w:themeColor="text1"/>
                <w:sz w:val="24"/>
                <w:szCs w:val="24"/>
                <w:highlight w:val="none"/>
                <w:lang w:val="en-US" w:eastAsia="zh-CN"/>
                <w14:textFill>
                  <w14:solidFill>
                    <w14:schemeClr w14:val="tx1"/>
                  </w14:solidFill>
                </w14:textFill>
              </w:rPr>
              <w:t xml:space="preserve">共10项</w:t>
            </w:r>
            <w:r>
              <w:rPr>
                <w:rFonts w:hint="eastAsia" w:ascii="宋体" w:hAnsi="宋体" w:eastAsia="宋体" w:cs="宋体"/>
                <w:b w:val="0"/>
                <w:bCs w:val="0"/>
                <w:strike w:val="0"/>
                <w:color w:val="000000" w:themeColor="text1"/>
                <w:sz w:val="24"/>
                <w:szCs w:val="24"/>
                <w:highlight w:val="none"/>
                <w14:textFill>
                  <w14:solidFill>
                    <w14:schemeClr w14:val="tx1"/>
                  </w14:solidFill>
                </w14:textFill>
              </w:rPr>
              <w:t xml:space="preserve">内容）</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进行完善，且表述具体方案措施。</w:t>
            </w:r>
            <w:r/>
          </w:p>
          <w:p>
            <w:pPr>
              <w:pStyle w:val="1511"/>
              <w:ind w:left="0" w:firstLine="480"/>
              <w:jc w:val="left"/>
              <w:keepLines w:val="0"/>
              <w:keepNext w:val="0"/>
              <w:pageBreakBefore w:val="0"/>
              <w:spacing w:line="300" w:lineRule="exact"/>
              <w:rPr>
                <w:rFonts w:hint="eastAsia" w:ascii="宋体" w:hAnsi="宋体" w:eastAsia="宋体" w:cs="宋体"/>
                <w:b w:val="0"/>
                <w:bCs w:val="0"/>
                <w:strike w:val="0"/>
                <w:color w:val="000000" w:themeColor="text1"/>
                <w:sz w:val="24"/>
                <w:szCs w:val="24"/>
                <w:highlight w:val="none"/>
                <w14:textFill>
                  <w14:solidFill>
                    <w14:schemeClr w14:val="tx1"/>
                  </w14:solidFill>
                </w14:textFill>
              </w:rPr>
            </w:pPr>
            <w:r>
              <w:rPr>
                <w:rFonts w:hint="eastAsia" w:ascii="宋体" w:hAnsi="宋体" w:eastAsia="宋体" w:cs="宋体"/>
                <w:b w:val="0"/>
                <w:bCs w:val="0"/>
                <w:strike w:val="0"/>
                <w:color w:val="000000" w:themeColor="text1"/>
                <w:sz w:val="24"/>
                <w:szCs w:val="24"/>
                <w:highlight w:val="none"/>
                <w14:textFill>
                  <w14:solidFill>
                    <w14:schemeClr w14:val="tx1"/>
                  </w14:solidFill>
                </w14:textFill>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eastAsia="宋体" w:cs="宋体"/>
                <w:b w:val="0"/>
                <w:bCs w:val="0"/>
                <w:strike w:val="0"/>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val="0"/>
                <w:bCs w:val="0"/>
                <w:strike w:val="0"/>
                <w:color w:val="000000" w:themeColor="text1"/>
                <w:sz w:val="24"/>
                <w:szCs w:val="24"/>
                <w:highlight w:val="none"/>
                <w14:textFill>
                  <w14:solidFill>
                    <w14:schemeClr w14:val="tx1"/>
                  </w14:solidFill>
                </w14:textFill>
              </w:rPr>
              <w:t xml:space="preserve">分，</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每缺少一项内容扣</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分，扣完为止；单项内容每存在一处缺陷扣0.5分，单项内容分扣完为止</w:t>
            </w:r>
            <w:r/>
          </w:p>
          <w:p>
            <w:pPr>
              <w:pStyle w:val="1511"/>
              <w:ind w:left="0" w:firstLine="480"/>
              <w:keepLines w:val="0"/>
              <w:keepNext w:val="0"/>
              <w:pageBreakBefore w:val="0"/>
              <w:spacing w:line="30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strike w:val="0"/>
                <w:color w:val="000000" w:themeColor="text1"/>
                <w:sz w:val="24"/>
                <w:szCs w:val="24"/>
                <w:highlight w:val="none"/>
                <w14:textFill>
                  <w14:solidFill>
                    <w14:schemeClr w14:val="tx1"/>
                  </w14:solidFill>
                </w14:textFill>
              </w:rPr>
              <w:t xml:space="preserve">未提供的得0分，本项最高得</w:t>
            </w:r>
            <w:r>
              <w:rPr>
                <w:rFonts w:hint="eastAsia" w:ascii="宋体" w:hAnsi="宋体" w:eastAsia="宋体" w:cs="宋体"/>
                <w:b w:val="0"/>
                <w:bCs w:val="0"/>
                <w:strike w:val="0"/>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val="0"/>
                <w:bCs w:val="0"/>
                <w:strike w:val="0"/>
                <w:color w:val="000000" w:themeColor="text1"/>
                <w:sz w:val="24"/>
                <w:szCs w:val="24"/>
                <w:highlight w:val="none"/>
                <w14:textFill>
                  <w14:solidFill>
                    <w14:schemeClr w14:val="tx1"/>
                  </w14:solidFill>
                </w14:textFill>
              </w:rPr>
              <w:t xml:space="preserve">分，最低得0分。</w:t>
            </w:r>
            <w:r/>
          </w:p>
        </w:tc>
        <w:tc>
          <w:tcPr>
            <w:tcBorders>
              <w:left w:val="single" w:color="000000" w:sz="4" w:space="0"/>
            </w:tcBorders>
            <w:tcW w:w="776" w:type="dxa"/>
            <w:vAlign w:val="center"/>
            <w:textDirection w:val="lrTb"/>
            <w:noWrap w:val="false"/>
          </w:tcPr>
          <w:p>
            <w:pPr>
              <w:ind w:firstLine="0"/>
              <w:jc w:val="center"/>
              <w:keepLines w:val="0"/>
              <w:keepNext w:val="0"/>
              <w:pageBreakBefore w:val="0"/>
              <w:spacing w:line="30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否</w:t>
            </w:r>
            <w:r/>
          </w:p>
        </w:tc>
      </w:tr>
      <w:tr>
        <w:trPr>
          <w:jc w:val="center"/>
          <w:trHeight w:val="90"/>
        </w:trPr>
        <w:tc>
          <w:tcPr>
            <w:tcW w:w="705" w:type="dxa"/>
            <w:vAlign w:val="center"/>
            <w:vMerge w:val="continue"/>
            <w:textDirection w:val="lrTb"/>
            <w:noWrap w:val="false"/>
          </w:tcPr>
          <w:p>
            <w:pPr>
              <w:ind w:firstLine="0"/>
              <w:keepLines w:val="0"/>
              <w:keepNext w:val="0"/>
              <w:pageBreakBefore w:val="0"/>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bottom w:val="single" w:color="auto" w:sz="4" w:space="0"/>
            </w:tcBorders>
            <w:tcW w:w="1236" w:type="dxa"/>
            <w:vAlign w:val="center"/>
            <w:textDirection w:val="lrTb"/>
            <w:noWrap w:val="false"/>
          </w:tcPr>
          <w:p>
            <w:pPr>
              <w:ind w:left="0" w:firstLine="0"/>
              <w:jc w:val="center"/>
              <w:keepLines w:val="0"/>
              <w:keepNext w:val="0"/>
              <w:pageBreakBefore w:val="0"/>
              <w:spacing w:line="300" w:lineRule="exact"/>
              <w:rPr>
                <w:rFonts w:hint="eastAsia" w:ascii="宋体" w:hAnsi="宋体" w:eastAsia="宋体" w:cs="宋体"/>
                <w:b w:val="0"/>
                <w:bCs w:val="0"/>
                <w:color w:val="000000" w:themeColor="text1"/>
                <w:sz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项目实施保障服务方案</w:t>
            </w:r>
            <w:r/>
          </w:p>
          <w:p>
            <w:pPr>
              <w:ind w:left="0" w:firstLine="0"/>
              <w:jc w:val="center"/>
              <w:keepLines w:val="0"/>
              <w:keepNext w:val="0"/>
              <w:pageBreakBefore w:val="0"/>
              <w:spacing w:line="300" w:lineRule="exact"/>
              <w:rPr>
                <w:rFonts w:hint="eastAsia" w:ascii="宋体" w:hAnsi="宋体" w:eastAsia="宋体" w:cs="宋体"/>
                <w:b w:val="0"/>
                <w:bCs w:val="0"/>
                <w:strike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（8分）</w:t>
            </w:r>
            <w:r/>
          </w:p>
        </w:tc>
        <w:tc>
          <w:tcPr>
            <w:tcBorders>
              <w:right w:val="single" w:color="000000" w:sz="4" w:space="0"/>
            </w:tcBorders>
            <w:tcW w:w="7223" w:type="dxa"/>
            <w:vAlign w:val="center"/>
            <w:textDirection w:val="lrTb"/>
            <w:noWrap w:val="false"/>
          </w:tcPr>
          <w:p>
            <w:pPr>
              <w:ind w:left="0" w:firstLine="480"/>
              <w:jc w:val="left"/>
              <w:keepLines w:val="0"/>
              <w:keepNext w:val="0"/>
              <w:pageBreakBefore w:val="0"/>
              <w:spacing w:line="300" w:lineRule="exact"/>
              <w:widowControl w:val="off"/>
              <w:rPr>
                <w:rFonts w:hint="eastAsia" w:ascii="宋体" w:hAnsi="宋体" w:eastAsia="宋体" w:cs="宋体"/>
                <w:b w:val="0"/>
                <w:bCs w:val="0"/>
                <w:strike w:val="0"/>
                <w:color w:val="000000" w:themeColor="text1"/>
                <w:sz w:val="24"/>
                <w:szCs w:val="24"/>
                <w:highlight w:val="none"/>
                <w:lang w:val="en-US" w:eastAsia="zh-CN" w:bidi="ar-SA"/>
                <w14:textFill>
                  <w14:solidFill>
                    <w14:schemeClr w14:val="tx1"/>
                  </w14:solidFill>
                </w14:textFill>
              </w:rPr>
              <w:outlineLvl w:val="1"/>
            </w:pPr>
            <w:r>
              <w:rPr>
                <w:rFonts w:hint="eastAsia" w:ascii="宋体" w:hAnsi="宋体" w:eastAsia="宋体" w:cs="宋体"/>
                <w:b w:val="0"/>
                <w:bCs w:val="0"/>
                <w:strike w:val="0"/>
                <w:color w:val="000000" w:themeColor="text1"/>
                <w:sz w:val="24"/>
                <w:szCs w:val="24"/>
                <w:highlight w:val="none"/>
                <w:lang w:val="en-US" w:eastAsia="zh-CN" w:bidi="ar-SA"/>
                <w14:textFill>
                  <w14:solidFill>
                    <w14:schemeClr w14:val="tx1"/>
                  </w14:solidFill>
                </w14:textFill>
              </w:rPr>
              <w:t xml:space="preserve">根据招标文件第六章《采购需求》中“二、技术要求”中“（六）项目实施保障服务要求”（共4项内容）进行完善，且表述具体方案措施。</w:t>
            </w:r>
            <w:r/>
          </w:p>
          <w:p>
            <w:pPr>
              <w:pStyle w:val="1511"/>
              <w:ind w:left="0" w:firstLine="480"/>
              <w:jc w:val="left"/>
              <w:keepLines w:val="0"/>
              <w:keepNext w:val="0"/>
              <w:pageBreakBefore w:val="0"/>
              <w:spacing w:line="300" w:lineRule="exact"/>
              <w:rPr>
                <w:rFonts w:hint="eastAsia" w:ascii="宋体" w:hAnsi="宋体" w:eastAsia="宋体" w:cs="宋体"/>
                <w:b w:val="0"/>
                <w:bCs w:val="0"/>
                <w:strike w:val="0"/>
                <w:color w:val="000000" w:themeColor="text1"/>
                <w:sz w:val="24"/>
                <w:szCs w:val="24"/>
                <w:highlight w:val="none"/>
                <w14:textFill>
                  <w14:solidFill>
                    <w14:schemeClr w14:val="tx1"/>
                  </w14:solidFill>
                </w14:textFill>
              </w:rPr>
            </w:pPr>
            <w:r>
              <w:rPr>
                <w:rFonts w:hint="eastAsia" w:ascii="宋体" w:hAnsi="宋体" w:eastAsia="宋体" w:cs="宋体"/>
                <w:b w:val="0"/>
                <w:bCs w:val="0"/>
                <w:strike w:val="0"/>
                <w:color w:val="000000" w:themeColor="text1"/>
                <w:sz w:val="24"/>
                <w:szCs w:val="24"/>
                <w:highlight w:val="none"/>
                <w:lang w:val="en-US" w:eastAsia="zh-CN" w:bidi="ar-SA"/>
                <w14:textFill>
                  <w14:solidFill>
                    <w14:schemeClr w14:val="tx1"/>
                  </w14:solidFill>
                </w14:textFill>
              </w:rPr>
              <w:t xml:space="preserve">上述内容齐全，符合实际切实可行且无缺陷（缺陷是指：部分内容与项目无关、逻辑错误、科学原理错误、表述错误、不符合本项目涉及的相关规范或标准要求的任意一种情形）得4分，每缺少一</w:t>
            </w:r>
            <w:r>
              <w:rPr>
                <w:rFonts w:hint="eastAsia" w:ascii="宋体" w:hAnsi="宋体" w:eastAsia="宋体" w:cs="宋体"/>
                <w:b w:val="0"/>
                <w:bCs w:val="0"/>
                <w:strike w:val="0"/>
                <w:color w:val="000000" w:themeColor="text1"/>
                <w:sz w:val="24"/>
                <w:szCs w:val="24"/>
                <w:highlight w:val="none"/>
                <w14:textFill>
                  <w14:solidFill>
                    <w14:schemeClr w14:val="tx1"/>
                  </w14:solidFill>
                </w14:textFill>
              </w:rPr>
              <w:t xml:space="preserve">项内容扣</w:t>
            </w:r>
            <w:r>
              <w:rPr>
                <w:rFonts w:hint="eastAsia" w:ascii="宋体" w:hAnsi="宋体" w:eastAsia="宋体" w:cs="宋体"/>
                <w:b w:val="0"/>
                <w:bCs w:val="0"/>
                <w:strike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val="0"/>
                <w:strike w:val="0"/>
                <w:color w:val="000000" w:themeColor="text1"/>
                <w:sz w:val="24"/>
                <w:szCs w:val="24"/>
                <w:highlight w:val="none"/>
                <w14:textFill>
                  <w14:solidFill>
                    <w14:schemeClr w14:val="tx1"/>
                  </w14:solidFill>
                </w14:textFill>
              </w:rPr>
              <w:t xml:space="preserve">分，扣完为止；单项内容每存在一处缺陷扣</w:t>
            </w:r>
            <w:r>
              <w:rPr>
                <w:rFonts w:hint="eastAsia" w:ascii="宋体" w:hAnsi="宋体" w:eastAsia="宋体" w:cs="宋体"/>
                <w:b w:val="0"/>
                <w:bCs w:val="0"/>
                <w:strike w:val="0"/>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val="0"/>
                <w:strike w:val="0"/>
                <w:color w:val="000000" w:themeColor="text1"/>
                <w:sz w:val="24"/>
                <w:szCs w:val="24"/>
                <w:highlight w:val="none"/>
                <w14:textFill>
                  <w14:solidFill>
                    <w14:schemeClr w14:val="tx1"/>
                  </w14:solidFill>
                </w14:textFill>
              </w:rPr>
              <w:t xml:space="preserve">分，单项内容分扣完为止。</w:t>
            </w:r>
            <w:r/>
          </w:p>
          <w:p>
            <w:pPr>
              <w:pStyle w:val="1136"/>
              <w:ind w:left="0" w:firstLine="480"/>
              <w:keepLines w:val="0"/>
              <w:keepNext w:val="0"/>
              <w:pageBreakBefore w:val="0"/>
              <w:spacing w:line="300" w:lineRule="exact"/>
              <w:rPr>
                <w:rFonts w:hint="eastAsia" w:ascii="宋体" w:hAnsi="宋体" w:eastAsia="宋体" w:cs="宋体"/>
                <w:b w:val="0"/>
                <w:bCs w:val="0"/>
                <w:strike w:val="0"/>
                <w:color w:val="000000" w:themeColor="text1"/>
                <w:sz w:val="24"/>
                <w:szCs w:val="24"/>
                <w:highlight w:val="none"/>
                <w14:textFill>
                  <w14:solidFill>
                    <w14:schemeClr w14:val="tx1"/>
                  </w14:solidFill>
                </w14:textFill>
              </w:rPr>
            </w:pPr>
            <w:r>
              <w:rPr>
                <w:rFonts w:hint="eastAsia" w:ascii="宋体" w:hAnsi="宋体" w:eastAsia="宋体" w:cs="宋体"/>
                <w:b w:val="0"/>
                <w:bCs w:val="0"/>
                <w:strike w:val="0"/>
                <w:color w:val="000000" w:themeColor="text1"/>
                <w:sz w:val="24"/>
                <w:szCs w:val="24"/>
                <w:highlight w:val="none"/>
                <w14:textFill>
                  <w14:solidFill>
                    <w14:schemeClr w14:val="tx1"/>
                  </w14:solidFill>
                </w14:textFill>
              </w:rPr>
              <w:t xml:space="preserve">未提供的得0分，本项最高得</w:t>
            </w:r>
            <w:r>
              <w:rPr>
                <w:rFonts w:hint="eastAsia" w:ascii="宋体" w:hAnsi="宋体" w:cs="宋体"/>
                <w:b w:val="0"/>
                <w:bCs w:val="0"/>
                <w:strike w:val="0"/>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val="0"/>
                <w:bCs w:val="0"/>
                <w:strike w:val="0"/>
                <w:color w:val="000000" w:themeColor="text1"/>
                <w:sz w:val="24"/>
                <w:szCs w:val="24"/>
                <w:highlight w:val="none"/>
                <w14:textFill>
                  <w14:solidFill>
                    <w14:schemeClr w14:val="tx1"/>
                  </w14:solidFill>
                </w14:textFill>
              </w:rPr>
              <w:t xml:space="preserve">分，最低得0分。</w:t>
            </w:r>
            <w:r/>
          </w:p>
        </w:tc>
        <w:tc>
          <w:tcPr>
            <w:tcBorders>
              <w:left w:val="single" w:color="000000" w:sz="4" w:space="0"/>
            </w:tcBorders>
            <w:tcW w:w="776" w:type="dxa"/>
            <w:vAlign w:val="center"/>
            <w:textDirection w:val="lrTb"/>
            <w:noWrap w:val="false"/>
          </w:tcPr>
          <w:p>
            <w:pPr>
              <w:ind w:firstLine="0"/>
              <w:jc w:val="center"/>
              <w:keepLines w:val="0"/>
              <w:keepNext w:val="0"/>
              <w:pageBreakBefore w:val="0"/>
              <w:spacing w:line="30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否</w:t>
            </w:r>
            <w:r/>
          </w:p>
        </w:tc>
      </w:tr>
      <w:tr>
        <w:trPr>
          <w:jc w:val="center"/>
          <w:trHeight w:val="2802"/>
        </w:trPr>
        <w:tc>
          <w:tcPr>
            <w:tcW w:w="705" w:type="dxa"/>
            <w:vMerge w:val="continue"/>
            <w:textDirection w:val="lrTb"/>
            <w:noWrap w:val="false"/>
          </w:tcPr>
          <w:p>
            <w:pPr>
              <w:ind w:firstLine="0"/>
              <w:keepLines w:val="0"/>
              <w:keepNext w:val="0"/>
              <w:pageBreakBefore w:val="0"/>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tcBorders>
            <w:tcW w:w="1236" w:type="dxa"/>
            <w:vAlign w:val="center"/>
            <w:textDirection w:val="lrTb"/>
            <w:noWrap w:val="false"/>
          </w:tcPr>
          <w:p>
            <w:pPr>
              <w:ind w:left="0" w:firstLine="0"/>
              <w:jc w:val="center"/>
              <w:keepLines w:val="0"/>
              <w:keepNext w:val="0"/>
              <w:pageBreakBefore w:val="0"/>
              <w:spacing w:line="30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运营运维</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服务方案</w:t>
            </w:r>
            <w:r/>
          </w:p>
          <w:p>
            <w:pPr>
              <w:ind w:firstLine="0"/>
              <w:jc w:val="center"/>
              <w:keepLines w:val="0"/>
              <w:keepNext w:val="0"/>
              <w:pageBreakBefore w:val="0"/>
              <w:spacing w:line="30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w:t>
            </w:r>
            <w:r/>
          </w:p>
        </w:tc>
        <w:tc>
          <w:tcPr>
            <w:tcBorders>
              <w:right w:val="single" w:color="000000" w:sz="4" w:space="0"/>
            </w:tcBorders>
            <w:tcW w:w="7223" w:type="dxa"/>
            <w:vAlign w:val="center"/>
            <w:textDirection w:val="lrTb"/>
            <w:noWrap w:val="false"/>
          </w:tcPr>
          <w:p>
            <w:pPr>
              <w:ind w:left="0" w:firstLine="480"/>
              <w:keepLines w:val="0"/>
              <w:keepNext w:val="0"/>
              <w:pageBreakBefore w:val="0"/>
              <w:spacing w:line="300" w:lineRule="exact"/>
              <w:tabs>
                <w:tab w:val="left" w:pos="0" w:leader="none"/>
              </w:tabs>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根据招标文件第六章《采购需求》中“二、技术要求”中“（</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运营运维服务要求</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共8项</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内容）进行完善，且表述具体方案措施。</w:t>
            </w:r>
            <w:r/>
          </w:p>
          <w:p>
            <w:pPr>
              <w:pStyle w:val="1511"/>
              <w:ind w:left="0" w:firstLine="480"/>
              <w:jc w:val="left"/>
              <w:keepLines w:val="0"/>
              <w:keepNext w:val="0"/>
              <w:pageBreakBefore w:val="0"/>
              <w:spacing w:line="30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分，每缺少一项内容扣</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分，扣完为止；单项内容每存在一处缺陷扣0.5分，单项内容分扣完为止。</w:t>
            </w:r>
            <w:r/>
          </w:p>
          <w:p>
            <w:pPr>
              <w:pStyle w:val="1511"/>
              <w:ind w:left="0" w:firstLine="480"/>
              <w:keepLines w:val="0"/>
              <w:keepNext w:val="0"/>
              <w:pageBreakBefore w:val="0"/>
              <w:spacing w:line="30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未提供的得0分，本项最高得</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分，最低得0分。</w:t>
            </w:r>
            <w:r/>
          </w:p>
        </w:tc>
        <w:tc>
          <w:tcPr>
            <w:tcBorders>
              <w:left w:val="single" w:color="000000" w:sz="4" w:space="0"/>
            </w:tcBorders>
            <w:tcW w:w="776" w:type="dxa"/>
            <w:vAlign w:val="center"/>
            <w:textDirection w:val="lrTb"/>
            <w:noWrap w:val="false"/>
          </w:tcPr>
          <w:p>
            <w:pPr>
              <w:pStyle w:val="1511"/>
              <w:ind w:firstLine="0"/>
              <w:jc w:val="center"/>
              <w:keepLines w:val="0"/>
              <w:keepNext w:val="0"/>
              <w:pageBreakBefore w:val="0"/>
              <w:spacing w:line="30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否</w:t>
            </w:r>
            <w:r/>
          </w:p>
        </w:tc>
      </w:tr>
      <w:tr>
        <w:trPr>
          <w:jc w:val="center"/>
          <w:trHeight w:val="1353"/>
        </w:trPr>
        <w:tc>
          <w:tcPr>
            <w:tcW w:w="705" w:type="dxa"/>
            <w:vMerge w:val="continue"/>
            <w:textDirection w:val="lrTb"/>
            <w:noWrap w:val="false"/>
          </w:tcPr>
          <w:p>
            <w:pPr>
              <w:ind w:firstLine="0"/>
              <w:keepLines w:val="0"/>
              <w:keepNext w:val="0"/>
              <w:pageBreakBefore w:val="0"/>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tcBorders>
            <w:tcW w:w="1236" w:type="dxa"/>
            <w:vAlign w:val="center"/>
            <w:textDirection w:val="lrTb"/>
            <w:noWrap w:val="false"/>
          </w:tcPr>
          <w:p>
            <w:pPr>
              <w:ind w:left="0" w:firstLine="0"/>
              <w:jc w:val="center"/>
              <w:keepLines w:val="0"/>
              <w:keepNext w:val="0"/>
              <w:pageBreakBefore w:val="0"/>
              <w:spacing w:line="3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功能演示（10分）</w:t>
            </w:r>
            <w:r/>
          </w:p>
        </w:tc>
        <w:tc>
          <w:tcPr>
            <w:tcBorders>
              <w:right w:val="single" w:color="000000" w:sz="4" w:space="0"/>
            </w:tcBorders>
            <w:tcW w:w="7223" w:type="dxa"/>
            <w:vAlign w:val="center"/>
            <w:textDirection w:val="lrTb"/>
            <w:noWrap w:val="false"/>
          </w:tcPr>
          <w:p>
            <w:pPr>
              <w:pStyle w:val="1511"/>
              <w:ind w:left="0" w:firstLine="480"/>
              <w:jc w:val="left"/>
              <w:keepLines w:val="0"/>
              <w:keepNext w:val="0"/>
              <w:pageBreakBefore w:val="0"/>
              <w:spacing w:line="300" w:lineRule="exac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投标人按照招标文件第六章《采购需求》中“二、技术要求”中“（八）功能演示要求”进行演示，演示内容共10项模块，对每项模块演示内容分别打分，每项演示内容分值1分。</w:t>
            </w:r>
            <w:r/>
          </w:p>
          <w:p>
            <w:pPr>
              <w:pStyle w:val="1511"/>
              <w:ind w:left="0" w:firstLine="480"/>
              <w:jc w:val="left"/>
              <w:keepLines w:val="0"/>
              <w:keepNext w:val="0"/>
              <w:pageBreakBefore w:val="0"/>
              <w:spacing w:line="300" w:lineRule="exact"/>
              <w:rPr>
                <w:rFonts w:hint="default"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每项演示内容全部满足的得1分；每项演示内容不全部满足或未演示的不得分。本项最高得10分，</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最低得0分。</w:t>
            </w:r>
            <w:r/>
          </w:p>
        </w:tc>
        <w:tc>
          <w:tcPr>
            <w:tcBorders>
              <w:left w:val="single" w:color="000000" w:sz="4" w:space="0"/>
            </w:tcBorders>
            <w:tcW w:w="776" w:type="dxa"/>
            <w:vAlign w:val="center"/>
            <w:textDirection w:val="lrTb"/>
            <w:noWrap w:val="false"/>
          </w:tcPr>
          <w:p>
            <w:pPr>
              <w:pStyle w:val="1511"/>
              <w:ind w:firstLine="0"/>
              <w:jc w:val="center"/>
              <w:keepLines w:val="0"/>
              <w:keepNext w:val="0"/>
              <w:pageBreakBefore w:val="0"/>
              <w:spacing w:line="3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是</w:t>
            </w:r>
            <w:r/>
          </w:p>
        </w:tc>
      </w:tr>
      <w:tr>
        <w:trPr>
          <w:jc w:val="center"/>
          <w:trHeight w:val="90"/>
        </w:trPr>
        <w:tc>
          <w:tcPr>
            <w:tcW w:w="705" w:type="dxa"/>
            <w:vAlign w:val="center"/>
            <w:vMerge w:val="restart"/>
            <w:textDirection w:val="lrTb"/>
            <w:noWrap w:val="false"/>
          </w:tcPr>
          <w:p>
            <w:pPr>
              <w:ind w:left="0" w:firstLine="0"/>
              <w:jc w:val="center"/>
              <w:keepLines w:val="0"/>
              <w:keepNext w:val="0"/>
              <w:pageBreakBefore w:val="0"/>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商务</w:t>
            </w:r>
            <w:r/>
          </w:p>
          <w:p>
            <w:pPr>
              <w:ind w:left="0" w:firstLine="0"/>
              <w:jc w:val="center"/>
              <w:keepLines w:val="0"/>
              <w:keepNext w:val="0"/>
              <w:pageBreakBefore w:val="0"/>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部分</w:t>
            </w:r>
            <w:r/>
          </w:p>
          <w:p>
            <w:pPr>
              <w:ind w:left="0" w:firstLine="0"/>
              <w:jc w:val="center"/>
              <w:keepLines w:val="0"/>
              <w:keepNext w:val="0"/>
              <w:pageBreakBefore w:val="0"/>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shd w:val="clear" w:color="auto" w:fill="auto"/>
            <w:tcBorders>
              <w:top w:val="single" w:color="auto" w:sz="4" w:space="0"/>
              <w:bottom w:val="single" w:color="auto" w:sz="4" w:space="0"/>
            </w:tcBorders>
            <w:tcW w:w="1236" w:type="dxa"/>
            <w:vAlign w:val="center"/>
            <w:textDirection w:val="lrTb"/>
            <w:noWrap w:val="false"/>
          </w:tcPr>
          <w:p>
            <w:pPr>
              <w:ind w:left="0" w:firstLine="0"/>
              <w:jc w:val="center"/>
              <w:keepLines w:val="0"/>
              <w:keepNext w:val="0"/>
              <w:pageBreakBefore w:val="0"/>
              <w:spacing w:line="30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技术服务团队配置（10分）</w:t>
            </w:r>
            <w:r/>
          </w:p>
        </w:tc>
        <w:tc>
          <w:tcPr>
            <w:shd w:val="clear" w:color="auto" w:fill="auto"/>
            <w:tcBorders>
              <w:right w:val="single" w:color="000000" w:sz="4" w:space="0"/>
            </w:tcBorders>
            <w:tcW w:w="7223" w:type="dxa"/>
            <w:vAlign w:val="center"/>
            <w:textDirection w:val="lrTb"/>
            <w:noWrap w:val="false"/>
          </w:tcPr>
          <w:p>
            <w:pPr>
              <w:ind w:firstLine="480"/>
              <w:keepLines w:val="0"/>
              <w:keepNext w:val="0"/>
              <w:pageBreakBefore w:val="0"/>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1.项目经理1人，具有信息系统项目管理师证书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或</w:t>
            </w:r>
            <w:r>
              <w:rPr>
                <w:rFonts w:hint="eastAsia" w:ascii="宋体" w:hAnsi="宋体" w:eastAsia="宋体" w:cs="宋体"/>
                <w:color w:val="000000" w:themeColor="text1"/>
                <w:sz w:val="24"/>
                <w:szCs w:val="24"/>
                <w:highlight w:val="none"/>
                <w14:textFill>
                  <w14:solidFill>
                    <w14:schemeClr w14:val="tx1"/>
                  </w14:solidFill>
                </w14:textFill>
              </w:rPr>
              <w:t xml:space="preserve">CISP注册信息安全专业人员证书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2.技术负责人1人（与项目经理非同一人），具有信息系统项目管理师证书或CISP注册信息安全专业人员证书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得2分。</w:t>
            </w:r>
            <w:r/>
          </w:p>
          <w:p>
            <w:pPr>
              <w:ind w:firstLine="480"/>
              <w:keepLines w:val="0"/>
              <w:keepNext w:val="0"/>
              <w:pageBreakBefore w:val="0"/>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实施负责人</w:t>
            </w:r>
            <w:r>
              <w:rPr>
                <w:rFonts w:hint="eastAsia" w:ascii="宋体" w:hAnsi="宋体" w:eastAsia="宋体" w:cs="宋体"/>
                <w:strike w:val="0"/>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人（与项目经理、技术负责人非同一人），具有信息技术基础架构库（ITIL）认证证书或ITSS服务项目经理证书或网络安全管理员证书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，得2分。</w:t>
            </w:r>
            <w:r/>
          </w:p>
          <w:p>
            <w:pPr>
              <w:ind w:firstLine="480"/>
              <w:keepLines w:val="0"/>
              <w:keepNext w:val="0"/>
              <w:pageBreakBefore w:val="0"/>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4.其他服务团队成员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4人</w:t>
            </w:r>
            <w:r>
              <w:rPr>
                <w:rFonts w:hint="eastAsia" w:ascii="宋体" w:hAnsi="宋体" w:eastAsia="宋体" w:cs="宋体"/>
                <w:color w:val="000000" w:themeColor="text1"/>
                <w:sz w:val="24"/>
                <w:szCs w:val="24"/>
                <w:highlight w:val="none"/>
                <w14:textFill>
                  <w14:solidFill>
                    <w14:schemeClr w14:val="tx1"/>
                  </w14:solidFill>
                </w14:textFill>
              </w:rPr>
              <w:t xml:space="preserve">（除项目经理、技术负责人、</w:t>
            </w: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实施负责人</w:t>
            </w:r>
            <w:r>
              <w:rPr>
                <w:rFonts w:hint="eastAsia" w:ascii="宋体" w:hAnsi="宋体" w:eastAsia="宋体" w:cs="宋体"/>
                <w:color w:val="000000" w:themeColor="text1"/>
                <w:sz w:val="24"/>
                <w:szCs w:val="24"/>
                <w:highlight w:val="none"/>
                <w14:textFill>
                  <w14:solidFill>
                    <w14:schemeClr w14:val="tx1"/>
                  </w14:solidFill>
                </w14:textFill>
              </w:rPr>
              <w:t xml:space="preserve">外）</w:t>
            </w:r>
            <w:r>
              <w:rPr>
                <w:rFonts w:hint="eastAsia" w:ascii="宋体" w:hAnsi="宋体" w:eastAsia="宋体" w:cs="宋体"/>
                <w:strike w:val="0"/>
                <w:color w:val="000000" w:themeColor="text1"/>
                <w:sz w:val="24"/>
                <w:szCs w:val="24"/>
                <w:highlight w:val="none"/>
                <w:u w:val="none"/>
                <w:lang w:val="en-US" w:eastAsia="zh-CN"/>
                <w14:textFill>
                  <w14:solidFill>
                    <w14:schemeClr w14:val="tx1"/>
                  </w14:solidFill>
                </w14:textFill>
              </w:rPr>
              <w:t xml:space="preserve">具有</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u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中国信息安全测评中心颁发的注册信息安全工程师注册信息安全工程师CISP证书；（2）中国网络安全审查认证和市场监管大数据中心颁发的信息安全保障人员CISAW证书；（3）网络安全中级及以上证书；</w:t>
            </w:r>
            <w:r>
              <w:rPr>
                <w:rFonts w:hint="eastAsia" w:ascii="宋体" w:hAnsi="宋体" w:eastAsia="宋体" w:cs="宋体"/>
                <w:b w:val="0"/>
                <w:bCs w:val="0"/>
                <w:strike w:val="0"/>
                <w:color w:val="000000" w:themeColor="text1"/>
                <w:sz w:val="24"/>
                <w:szCs w:val="24"/>
                <w:highlight w:val="none"/>
                <w:lang w:val="en-US" w:eastAsia="zh-CN" w:bidi="ar-SA"/>
                <w14:textFill>
                  <w14:solidFill>
                    <w14:schemeClr w14:val="tx1"/>
                  </w14:solidFill>
                </w14:textFill>
              </w:rPr>
              <w:t xml:space="preserve">（4）官方机构或厂家颁发的数据存储中级及以上证书；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每提供一类证书得1分，本项最高得4分。</w:t>
            </w:r>
            <w:r/>
          </w:p>
          <w:p>
            <w:pPr>
              <w:pStyle w:val="1511"/>
              <w:ind w:left="0" w:firstLine="480"/>
              <w:jc w:val="left"/>
              <w:keepLines w:val="0"/>
              <w:keepNext w:val="0"/>
              <w:pageBreakBefore w:val="0"/>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注：每人最多按一项证书计分，超出部分不重复计分。投标文件中提供以上人员证书扫描件及投标人为以上人员缴纳的本项目开标时间前6个月内任何1月的社会保障资金的相关材料扫描件。</w:t>
            </w:r>
            <w:r/>
          </w:p>
          <w:p>
            <w:pPr>
              <w:ind w:left="0" w:firstLine="480"/>
              <w:keepLines w:val="0"/>
              <w:keepNext w:val="0"/>
              <w:pageBreakBefore w:val="0"/>
              <w:spacing w:line="30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未提供或提供不全不得分。</w:t>
            </w:r>
            <w:r>
              <w:rPr>
                <w:rFonts w:hint="eastAsia" w:ascii="宋体" w:hAnsi="宋体" w:eastAsia="宋体" w:cs="宋体"/>
                <w:color w:val="000000" w:themeColor="text1"/>
                <w:sz w:val="24"/>
                <w:szCs w:val="24"/>
                <w:highlight w:val="none"/>
                <w14:textFill>
                  <w14:solidFill>
                    <w14:schemeClr w14:val="tx1"/>
                  </w14:solidFill>
                </w14:textFill>
              </w:rPr>
              <w:t xml:space="preserve">本项最高得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分，最低得0分。</w:t>
            </w:r>
            <w:r/>
          </w:p>
        </w:tc>
        <w:tc>
          <w:tcPr>
            <w:shd w:val="clear" w:color="auto" w:fill="auto"/>
            <w:tcBorders>
              <w:left w:val="single" w:color="000000" w:sz="4" w:space="0"/>
            </w:tcBorders>
            <w:tcW w:w="776" w:type="dxa"/>
            <w:vAlign w:val="center"/>
            <w:textDirection w:val="lrTb"/>
            <w:noWrap w:val="false"/>
          </w:tcPr>
          <w:p>
            <w:pPr>
              <w:pStyle w:val="1511"/>
              <w:ind w:firstLine="0"/>
              <w:jc w:val="center"/>
              <w:keepLines w:val="0"/>
              <w:keepNext w:val="0"/>
              <w:pageBreakBefore w:val="0"/>
              <w:spacing w:line="30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是</w:t>
            </w:r>
            <w:r/>
          </w:p>
        </w:tc>
      </w:tr>
      <w:tr>
        <w:trPr>
          <w:jc w:val="center"/>
          <w:trHeight w:val="498"/>
        </w:trPr>
        <w:tc>
          <w:tcPr>
            <w:tcW w:w="705" w:type="dxa"/>
            <w:vMerge w:val="continue"/>
            <w:textDirection w:val="lrTb"/>
            <w:noWrap w:val="false"/>
          </w:tcPr>
          <w:p>
            <w:pPr>
              <w:ind w:firstLine="0"/>
              <w:jc w:val="center"/>
              <w:keepLines w:val="0"/>
              <w:keepNext w:val="0"/>
              <w:pageBreakBefore w:val="0"/>
              <w:spacing w:line="3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tcBorders>
            <w:tcW w:w="1236" w:type="dxa"/>
            <w:vAlign w:val="center"/>
            <w:textDirection w:val="lrTb"/>
            <w:noWrap w:val="false"/>
          </w:tcPr>
          <w:p>
            <w:pPr>
              <w:ind w:left="0" w:firstLine="0"/>
              <w:jc w:val="center"/>
              <w:keepLines w:val="0"/>
              <w:keepNext w:val="0"/>
              <w:pageBreakBefore w:val="0"/>
              <w:spacing w:line="30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企业</w:t>
            </w:r>
            <w:r>
              <w:rPr>
                <w:rFonts w:hint="eastAsia" w:ascii="宋体" w:hAnsi="宋体" w:eastAsia="宋体" w:cs="宋体"/>
                <w:color w:val="000000" w:themeColor="text1"/>
                <w:sz w:val="24"/>
                <w:szCs w:val="24"/>
                <w:highlight w:val="none"/>
                <w14:textFill>
                  <w14:solidFill>
                    <w14:schemeClr w14:val="tx1"/>
                  </w14:solidFill>
                </w14:textFill>
              </w:rPr>
              <w:t xml:space="preserve">评价（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shd w:val="clear" w:color="auto" w:fill="auto"/>
            <w:tcBorders>
              <w:right w:val="single" w:color="000000" w:sz="4" w:space="0"/>
            </w:tcBorders>
            <w:tcW w:w="7223" w:type="dxa"/>
            <w:vAlign w:val="center"/>
            <w:textDirection w:val="lrTb"/>
            <w:noWrap w:val="false"/>
          </w:tcPr>
          <w:p>
            <w:pPr>
              <w:ind w:firstLine="480"/>
              <w:jc w:val="left"/>
              <w:keepLines w:val="0"/>
              <w:keepNext w:val="0"/>
              <w:pageBreakBefore w:val="0"/>
              <w:spacing w:line="30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投标文件中提供投标人有效的ISO</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9001质量管理体系</w:t>
            </w:r>
            <w:r>
              <w:rPr>
                <w:rFonts w:hint="eastAsia" w:ascii="宋体" w:hAnsi="宋体" w:eastAsia="宋体" w:cs="宋体"/>
                <w:color w:val="000000" w:themeColor="text1"/>
                <w:sz w:val="24"/>
                <w:szCs w:val="24"/>
                <w:highlight w:val="none"/>
                <w14:textFill>
                  <w14:solidFill>
                    <w14:schemeClr w14:val="tx1"/>
                  </w14:solidFill>
                </w14:textFill>
              </w:rPr>
              <w:t xml:space="preserve">认证</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ISO27001 信息安全管理体系认证证书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ISO20000信息技术服务管理体系认证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证书</w:t>
            </w:r>
            <w:r>
              <w:rPr>
                <w:rFonts w:hint="eastAsia" w:ascii="宋体" w:hAnsi="宋体" w:eastAsia="宋体" w:cs="宋体"/>
                <w:color w:val="000000" w:themeColor="text1"/>
                <w:sz w:val="24"/>
                <w:szCs w:val="24"/>
                <w:highlight w:val="none"/>
                <w14:textFill>
                  <w14:solidFill>
                    <w14:schemeClr w14:val="tx1"/>
                  </w14:solidFill>
                </w14:textFill>
              </w:rPr>
              <w:t xml:space="preserve">原件扫描件及国家市场监督管理总局全国认证认可信息公共服务平台(网址: http://cx.cnca.cn/CertECloud/result/skipResultList)查询证书状态为有效的截图证明材料的，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每提供一类证书</w:t>
            </w:r>
            <w:r>
              <w:rPr>
                <w:rFonts w:hint="eastAsia" w:ascii="宋体" w:hAnsi="宋体" w:eastAsia="宋体" w:cs="宋体"/>
                <w:color w:val="000000" w:themeColor="text1"/>
                <w:sz w:val="24"/>
                <w:szCs w:val="24"/>
                <w:highlight w:val="none"/>
                <w14:textFill>
                  <w14:solidFill>
                    <w14:schemeClr w14:val="tx1"/>
                  </w14:solidFill>
                </w14:textFill>
              </w:rPr>
              <w:t xml:space="preserve">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分，不提供或提供不全的不得分，本项最高得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分,最低得0分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c>
          <w:tcPr>
            <w:shd w:val="clear" w:color="auto" w:fill="auto"/>
            <w:tcBorders>
              <w:left w:val="single" w:color="000000" w:sz="4" w:space="0"/>
            </w:tcBorders>
            <w:tcW w:w="776" w:type="dxa"/>
            <w:vAlign w:val="center"/>
            <w:textDirection w:val="lrTb"/>
            <w:noWrap w:val="false"/>
          </w:tcPr>
          <w:p>
            <w:pPr>
              <w:pStyle w:val="1511"/>
              <w:ind w:firstLine="0"/>
              <w:jc w:val="center"/>
              <w:keepLines w:val="0"/>
              <w:keepNext w:val="0"/>
              <w:pageBreakBefore w:val="0"/>
              <w:spacing w:line="3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是</w:t>
            </w:r>
            <w:r/>
          </w:p>
        </w:tc>
      </w:tr>
    </w:tbl>
    <w:p>
      <w:pPr>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注：评分结果精确到小数点后两位。</w:t>
      </w:r>
      <w:bookmarkEnd w:id="8"/>
      <w:r/>
      <w:r/>
    </w:p>
    <w:p>
      <w:pPr>
        <w:numPr>
          <w:ilvl w:val="0"/>
          <w:numId w:val="0"/>
        </w:numPr>
        <w:jc w:val="center"/>
        <w:keepLines/>
        <w:keepNext/>
        <w:spacing w:before="340" w:after="330" w:line="480" w:lineRule="auto"/>
        <w:rPr>
          <w:rFonts w:hint="eastAsia" w:ascii="宋体" w:hAnsi="宋体" w:eastAsia="宋体" w:cs="宋体"/>
          <w:color w:val="000000" w:themeColor="text1"/>
          <w:sz w:val="24"/>
          <w:szCs w:val="24"/>
          <w:highlight w:val="none"/>
          <w14:textFill>
            <w14:solidFill>
              <w14:schemeClr w14:val="tx1"/>
            </w14:solidFill>
          </w14:textFill>
        </w:rPr>
        <w:outlineLvl w:val="0"/>
      </w:pPr>
      <w:r/>
      <w:bookmarkStart w:id="10" w:name="_Toc484939581"/>
      <w:r>
        <w:rPr>
          <w:rFonts w:hint="eastAsia" w:ascii="宋体" w:hAnsi="宋体" w:eastAsia="宋体" w:cs="宋体"/>
          <w:b/>
          <w:bCs/>
          <w:color w:val="000000" w:themeColor="text1"/>
          <w:sz w:val="36"/>
          <w:szCs w:val="36"/>
          <w:highlight w:val="none"/>
          <w:lang w:val="en-US" w:eastAsia="zh-CN"/>
          <w14:textFill>
            <w14:solidFill>
              <w14:schemeClr w14:val="tx1"/>
            </w14:solidFill>
          </w14:textFill>
        </w:rPr>
        <w:t xml:space="preserve">第五章</w:t>
      </w:r>
      <w:r>
        <w:rPr>
          <w:rFonts w:hint="eastAsia" w:ascii="宋体" w:hAnsi="宋体" w:eastAsia="宋体" w:cs="宋体"/>
          <w:b/>
          <w:bCs/>
          <w:color w:val="000000" w:themeColor="text1"/>
          <w:sz w:val="36"/>
          <w:szCs w:val="36"/>
          <w:highlight w:val="none"/>
          <w14:textFill>
            <w14:solidFill>
              <w14:schemeClr w14:val="tx1"/>
            </w14:solidFill>
          </w14:textFill>
        </w:rPr>
        <w:t xml:space="preserve">  </w:t>
      </w:r>
      <w:bookmarkStart w:id="11" w:name="_Toc4628"/>
      <w:r>
        <w:rPr>
          <w:rFonts w:hint="eastAsia" w:ascii="宋体" w:hAnsi="宋体" w:eastAsia="宋体" w:cs="宋体"/>
          <w:b/>
          <w:bCs/>
          <w:color w:val="000000" w:themeColor="text1"/>
          <w:sz w:val="36"/>
          <w:szCs w:val="36"/>
          <w:highlight w:val="none"/>
          <w14:textFill>
            <w14:solidFill>
              <w14:schemeClr w14:val="tx1"/>
            </w14:solidFill>
          </w14:textFill>
        </w:rPr>
        <w:t xml:space="preserve">拟签订的合同文本</w:t>
      </w:r>
      <w:bookmarkEnd w:id="11"/>
      <w:r/>
      <w:r/>
    </w:p>
    <w:p>
      <w:pPr>
        <w:spacing w:line="40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甲方（全称）：</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丰县大数据管理中心</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（采购人）                     </w:t>
      </w:r>
      <w:r/>
    </w:p>
    <w:p>
      <w:pPr>
        <w:spacing w:line="40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乙方（全称）：</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（中标供应商）</w:t>
      </w:r>
      <w:r/>
    </w:p>
    <w:p>
      <w:pPr>
        <w:ind w:left="0" w:right="0" w:firstLine="480"/>
        <w:jc w:val="left"/>
        <w:pageBreakBefore w:val="0"/>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为做好</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丰县云计算资源平台服务项目</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工作</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以下简称云平台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，按照政府采购程序，确定乙方为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丰县云计算资源平台服务项目</w:t>
      </w:r>
      <w:r>
        <w:rPr>
          <w:rFonts w:hint="eastAsia" w:ascii="宋体" w:hAnsi="宋体" w:eastAsia="宋体" w:cs="宋体"/>
          <w:color w:val="000000" w:themeColor="text1"/>
          <w:sz w:val="24"/>
          <w:szCs w:val="24"/>
          <w:highlight w:val="none"/>
          <w:u w:val="none"/>
          <w14:textFill>
            <w14:solidFill>
              <w14:schemeClr w14:val="tx1"/>
            </w14:solidFill>
          </w14:textFill>
        </w:rPr>
        <w:t xml:space="preserve">（项目编号：</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JSZC-320321-FXZX-G2026-0006</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中标供应商。依据《中华人民共和国民法典》和《中华人民共和国政府采购法》，以及采购文件，中标通知书，经甲、乙双方协商，达成如下合同条款。</w:t>
      </w:r>
      <w:r/>
    </w:p>
    <w:p>
      <w:pPr>
        <w:pStyle w:val="1523"/>
        <w:ind w:left="0" w:right="0" w:firstLine="482"/>
        <w:pageBreakBefore w:val="0"/>
        <w:spacing w:line="44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一、合同标的物内容</w:t>
      </w:r>
      <w:r/>
    </w:p>
    <w:p>
      <w:pPr>
        <w:pStyle w:val="1523"/>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本合同的标的物内容详见附件四《云平台服务条目清单及价格》。</w:t>
      </w:r>
      <w:r/>
    </w:p>
    <w:p>
      <w:pPr>
        <w:pStyle w:val="1523"/>
        <w:ind w:left="0" w:right="0" w:firstLine="482"/>
        <w:pageBreakBefore w:val="0"/>
        <w:spacing w:line="44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二、服务条件</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（一）服务地点：云平台所在机房必须位于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丰县</w:t>
      </w:r>
      <w:r>
        <w:rPr>
          <w:rFonts w:hint="eastAsia" w:ascii="宋体" w:hAnsi="宋体" w:eastAsia="宋体" w:cs="宋体"/>
          <w:color w:val="000000" w:themeColor="text1"/>
          <w:sz w:val="24"/>
          <w:szCs w:val="24"/>
          <w:highlight w:val="none"/>
          <w14:textFill>
            <w14:solidFill>
              <w14:schemeClr w14:val="tx1"/>
            </w14:solidFill>
          </w14:textFill>
        </w:rPr>
        <w:t xml:space="preserve">辖区内。</w:t>
      </w:r>
      <w:r/>
    </w:p>
    <w:p>
      <w:pPr>
        <w:pStyle w:val="1523"/>
        <w:ind w:left="0" w:right="0" w:firstLine="480"/>
        <w:pageBreakBefore w:val="0"/>
        <w:spacing w:line="44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（二）服务能力审核：</w:t>
      </w:r>
      <w:r>
        <w:rPr>
          <w:rFonts w:hint="eastAsia" w:ascii="宋体" w:hAnsi="宋体" w:eastAsia="宋体" w:cs="宋体"/>
          <w:b/>
          <w:bCs/>
          <w:color w:val="000000" w:themeColor="text1"/>
          <w:sz w:val="24"/>
          <w:szCs w:val="24"/>
          <w:highlight w:val="none"/>
          <w14:textFill>
            <w14:solidFill>
              <w14:schemeClr w14:val="tx1"/>
            </w14:solidFill>
          </w14:textFill>
        </w:rPr>
        <w:t xml:space="preserve">自合同签订之日起</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30日内</w:t>
      </w:r>
      <w:r>
        <w:rPr>
          <w:rFonts w:hint="eastAsia" w:ascii="宋体" w:hAnsi="宋体" w:eastAsia="宋体" w:cs="宋体"/>
          <w:b/>
          <w:bCs/>
          <w:color w:val="000000" w:themeColor="text1"/>
          <w:sz w:val="24"/>
          <w:szCs w:val="24"/>
          <w:highlight w:val="none"/>
          <w14:textFill>
            <w14:solidFill>
              <w14:schemeClr w14:val="tx1"/>
            </w14:solidFill>
          </w14:textFill>
        </w:rPr>
        <w:t xml:space="preserve">，乙方</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须</w:t>
      </w:r>
      <w:r>
        <w:rPr>
          <w:rFonts w:hint="eastAsia" w:ascii="宋体" w:hAnsi="宋体" w:eastAsia="宋体" w:cs="宋体"/>
          <w:b/>
          <w:bCs/>
          <w:color w:val="000000" w:themeColor="text1"/>
          <w:sz w:val="24"/>
          <w:szCs w:val="24"/>
          <w:highlight w:val="none"/>
          <w14:textFill>
            <w14:solidFill>
              <w14:schemeClr w14:val="tx1"/>
            </w14:solidFill>
          </w14:textFill>
        </w:rPr>
        <w:t xml:space="preserve">书面向甲方申请初验。由甲方</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组织相关专家</w:t>
      </w:r>
      <w:r>
        <w:rPr>
          <w:rFonts w:hint="eastAsia" w:ascii="宋体" w:hAnsi="宋体" w:eastAsia="宋体" w:cs="宋体"/>
          <w:b/>
          <w:bCs/>
          <w:color w:val="000000" w:themeColor="text1"/>
          <w:sz w:val="24"/>
          <w:szCs w:val="24"/>
          <w:highlight w:val="none"/>
          <w14:textFill>
            <w14:solidFill>
              <w14:schemeClr w14:val="tx1"/>
            </w14:solidFill>
          </w14:textFill>
        </w:rPr>
        <w:t xml:space="preserve">对乙方进行初次交付服务能力审核，结果为合格视为具备服务能力。</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（三）服务期：</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从迁移完成之日起计算</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2年</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w:t>
      </w:r>
      <w:bookmarkStart w:id="79" w:name="_GoBack"/>
      <w:r/>
      <w:bookmarkEnd w:id="79"/>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（四）服务内容</w:t>
      </w:r>
      <w:r>
        <w:rPr>
          <w:rFonts w:hint="eastAsia" w:ascii="宋体" w:hAnsi="宋体" w:eastAsia="宋体" w:cs="宋体"/>
          <w:bCs/>
          <w:color w:val="000000" w:themeColor="text1"/>
          <w:sz w:val="24"/>
          <w:szCs w:val="24"/>
          <w:highlight w:val="none"/>
          <w14:textFill>
            <w14:solidFill>
              <w14:schemeClr w14:val="tx1"/>
            </w14:solidFill>
          </w14:textFill>
        </w:rPr>
        <w:t xml:space="preserve">：见招标文件和乙方投标文件。</w:t>
      </w:r>
      <w:r/>
    </w:p>
    <w:p>
      <w:pPr>
        <w:pStyle w:val="1523"/>
        <w:ind w:left="0" w:right="0" w:firstLine="482"/>
        <w:pageBreakBefore w:val="0"/>
        <w:spacing w:line="44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三、合同价款</w:t>
      </w:r>
      <w:r/>
    </w:p>
    <w:p>
      <w:pPr>
        <w:pStyle w:val="1523"/>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本项目财政预算金额</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14:textFill>
            <w14:solidFill>
              <w14:schemeClr w14:val="tx1"/>
            </w14:solidFill>
          </w14:textFill>
        </w:rPr>
        <w:t xml:space="preserve">万</w:t>
      </w:r>
      <w:r>
        <w:rPr>
          <w:rFonts w:hint="eastAsia" w:ascii="宋体" w:hAnsi="宋体" w:eastAsia="宋体" w:cs="宋体"/>
          <w:color w:val="000000" w:themeColor="text1"/>
          <w:sz w:val="24"/>
          <w:szCs w:val="24"/>
          <w:highlight w:val="none"/>
          <w14:textFill>
            <w14:solidFill>
              <w14:schemeClr w14:val="tx1"/>
            </w14:solidFill>
          </w14:textFill>
        </w:rPr>
        <w:t xml:space="preserve">元（不得高于预算金额）。甲乙双方确认并认可项目所涉服务内容的标准单价（含税价）（附件四），乙方以招标文件里的服务目录标准单价为基础的报价折扣为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_</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14:textFill>
            <w14:solidFill>
              <w14:schemeClr w14:val="tx1"/>
            </w14:solidFill>
          </w14:textFill>
        </w:rPr>
        <w:t xml:space="preserve">__</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甲乙双方按照乙方报价的折扣据实进行结算。即结算价=标准单价*折扣*数量-应扣款项。</w:t>
      </w:r>
      <w:r/>
    </w:p>
    <w:p>
      <w:pPr>
        <w:pStyle w:val="1523"/>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第一合同年支付金额上限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%即</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万元，第二合同年支付金额上限为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万元减去第一合同年实际支付金额。</w:t>
      </w:r>
      <w:r/>
    </w:p>
    <w:p>
      <w:pPr>
        <w:pStyle w:val="1523"/>
        <w:numPr>
          <w:ilvl w:val="0"/>
          <w:numId w:val="8"/>
        </w:numPr>
        <w:ind w:left="0" w:right="0" w:firstLine="482"/>
        <w:pageBreakBefore w:val="0"/>
        <w:spacing w:line="44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款项结算</w:t>
      </w:r>
      <w:r/>
    </w:p>
    <w:p>
      <w:pPr>
        <w:pStyle w:val="1523"/>
        <w:numPr>
          <w:ilvl w:val="0"/>
          <w:numId w:val="0"/>
        </w:numPr>
        <w:ind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合同期内，每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14:textFill>
            <w14:solidFill>
              <w14:schemeClr w14:val="tx1"/>
            </w14:solidFill>
          </w14:textFill>
        </w:rPr>
        <w:t xml:space="preserve">个月为一个合同年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即：</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日起至</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年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日止</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523"/>
        <w:ind w:left="0" w:right="0" w:firstLine="480"/>
        <w:pageBreakBefore w:val="0"/>
        <w:spacing w:line="440" w:lineRule="exact"/>
        <w:rPr>
          <w:rFonts w:hint="eastAsia" w:ascii="宋体" w:hAnsi="宋体" w:eastAsia="宋体" w:cs="宋体"/>
          <w:strike w:val="0"/>
          <w:color w:val="000000" w:themeColor="text1"/>
          <w:sz w:val="24"/>
          <w:szCs w:val="24"/>
          <w:highlight w:val="none"/>
          <w:lang w:eastAsia="zh-CN"/>
          <w14:textFill>
            <w14:solidFill>
              <w14:schemeClr w14:val="tx1"/>
            </w14:solidFill>
          </w14:textFill>
        </w:rPr>
      </w:pPr>
      <w:r>
        <w:rPr>
          <w:rFonts w:hint="eastAsia" w:ascii="宋体" w:hAnsi="宋体" w:eastAsia="宋体" w:cs="宋体"/>
          <w:strike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strike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strike w:val="0"/>
          <w:color w:val="000000" w:themeColor="text1"/>
          <w:sz w:val="24"/>
          <w:szCs w:val="24"/>
          <w:highlight w:val="none"/>
          <w14:textFill>
            <w14:solidFill>
              <w14:schemeClr w14:val="tx1"/>
            </w14:solidFill>
          </w14:textFill>
        </w:rPr>
        <w:t xml:space="preserve">每个合同年甲方向乙方按需采购云服务，根据实际使用量进行结算</w:t>
      </w:r>
      <w:r>
        <w:rPr>
          <w:rFonts w:hint="eastAsia" w:ascii="宋体" w:hAnsi="宋体" w:eastAsia="宋体" w:cs="宋体"/>
          <w:strike w:val="0"/>
          <w:color w:val="000000" w:themeColor="text1"/>
          <w:sz w:val="24"/>
          <w:szCs w:val="24"/>
          <w:highlight w:val="none"/>
          <w:lang w:eastAsia="zh-CN"/>
          <w14:textFill>
            <w14:solidFill>
              <w14:schemeClr w14:val="tx1"/>
            </w14:solidFill>
          </w14:textFill>
        </w:rPr>
        <w:t xml:space="preserve">。</w:t>
      </w:r>
      <w:r/>
    </w:p>
    <w:p>
      <w:pPr>
        <w:pStyle w:val="1523"/>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第一合同年需支付的云服务费用超过</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万元的部分，延期到第二合同年支付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如果在该合同周期内采购云服务费用超过</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万元，乙方继续提供服务，超过</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万元部分云服务费用按照结算单(附件五《云服务费结算单》)据实结算，就上述该合同周期内超过</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万元部分云服务费用的支付，双方应在第二合同年结算周期结束后30天内协商达成付款约定。</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（四）自服务期开始之日起算每满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14:textFill>
            <w14:solidFill>
              <w14:schemeClr w14:val="tx1"/>
            </w14:solidFill>
          </w14:textFill>
        </w:rPr>
        <w:t xml:space="preserve">个月，甲方在10个工作日内组织服务验收及考核，通过后10个工作日内，甲方依据服务实际使用量及单价计算服务费用，并扣除相关款项（根据合同附件的考核要求计算的服务不达标扣除款项）后，向乙方结算相关费用。甲乙双方确认。</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（五）支付方式：银行转账。</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（六）结算方式：乙方开具发票，持结算等额发票，与甲方结算，一切费用均以人民币结算及支付。</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（七）乙方及收款账户为：</w:t>
      </w:r>
      <w:r/>
    </w:p>
    <w:p>
      <w:pPr>
        <w:pStyle w:val="1523"/>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公司名称：___________________</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地址：___________________</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电话：___________________</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开户行：___________________</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账号：___________________</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纳税人识别号：___________________</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（八）发票：</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乙方应当在甲方支付费用前的10个工作日内提供等值金额的增值税普通发票，开票信息如下：</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发票单位：_______________</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税务登记号：_______________</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开户银行：_______________</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银行账号：_______________</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地址：_______________</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联系电话：_______________</w:t>
      </w:r>
      <w:r/>
    </w:p>
    <w:p>
      <w:pPr>
        <w:pStyle w:val="1523"/>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（九）结算方式：乙方依据结算金额开具发票，持服务合同、发票，申请甲方付款，</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原则上</w:t>
      </w:r>
      <w:r>
        <w:rPr>
          <w:rFonts w:hint="eastAsia" w:ascii="宋体" w:hAnsi="宋体" w:eastAsia="宋体" w:cs="宋体"/>
          <w:color w:val="000000" w:themeColor="text1"/>
          <w:sz w:val="24"/>
          <w:szCs w:val="24"/>
          <w:highlight w:val="none"/>
          <w14:textFill>
            <w14:solidFill>
              <w14:schemeClr w14:val="tx1"/>
            </w14:solidFill>
          </w14:textFill>
        </w:rPr>
        <w:t xml:space="preserve">甲方在收到发票后的10个工作日内付款。</w:t>
      </w:r>
      <w:r/>
    </w:p>
    <w:p>
      <w:pPr>
        <w:pStyle w:val="1523"/>
        <w:ind w:left="0" w:right="0" w:firstLine="480"/>
        <w:pageBreakBefore w:val="0"/>
        <w:spacing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（十）</w:t>
      </w:r>
      <w:r>
        <w:rPr>
          <w:rFonts w:hint="eastAsia" w:ascii="宋体" w:hAnsi="宋体" w:eastAsia="宋体" w:cs="宋体"/>
          <w:color w:val="000000" w:themeColor="text1"/>
          <w:sz w:val="24"/>
          <w:szCs w:val="24"/>
          <w:highlight w:val="none"/>
          <w14:textFill>
            <w14:solidFill>
              <w14:schemeClr w14:val="tx1"/>
            </w14:solidFill>
          </w14:textFill>
        </w:rPr>
        <w:t xml:space="preserve">履约保证金退还的方式、时间、条件和不予退还的情形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1523"/>
        <w:ind w:left="0" w:right="0" w:firstLine="480"/>
        <w:pageBreakBefore w:val="0"/>
        <w:spacing w:line="440" w:lineRule="exact"/>
        <w:rPr>
          <w:rFonts w:hint="default"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退还方式：</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pStyle w:val="1523"/>
        <w:ind w:left="0" w:right="0" w:firstLine="480"/>
        <w:pageBreakBefore w:val="0"/>
        <w:spacing w:line="440" w:lineRule="exact"/>
        <w:rPr>
          <w:rFonts w:hint="default"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退还时间：</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pStyle w:val="1523"/>
        <w:ind w:left="0" w:right="0" w:firstLine="480"/>
        <w:pageBreakBefore w:val="0"/>
        <w:spacing w:line="440" w:lineRule="exact"/>
        <w:rPr>
          <w:rFonts w:hint="default"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退还条件：</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pStyle w:val="1523"/>
        <w:ind w:left="0" w:right="0" w:firstLine="480"/>
        <w:pageBreakBefore w:val="0"/>
        <w:spacing w:line="440" w:lineRule="exact"/>
        <w:rPr>
          <w:rFonts w:hint="default"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不予退还的情形：</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pStyle w:val="1523"/>
        <w:ind w:left="0" w:right="0" w:firstLine="679"/>
        <w:pageBreakBefore w:val="0"/>
        <w:spacing w:line="44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五、双方的权利和义务</w:t>
      </w:r>
      <w:r/>
    </w:p>
    <w:p>
      <w:pPr>
        <w:pStyle w:val="1523"/>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（一）甲方的权利和义务</w:t>
      </w:r>
      <w:r/>
    </w:p>
    <w:p>
      <w:pPr>
        <w:pStyle w:val="1523"/>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1.本合同服务期开始后，乙方将保障甲方（含有权向甲方提出云服务申请的单位）的需求。</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2.甲方同意本合同项下乙方所投入的云计算平台的全部软硬件设备产权、替换权及运营权归乙方全权所有。</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3.甲方应根据合同约定按时足额支付各类费用。</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甲方承诺遵守附件二《信息安全责任书》，如果甲方违反了此承诺书相关规定，甲方有义务在规定的时间完成改正。对于不能按照规定改正的，乙方有权在书面通知甲方后暂停相关服务，直至甲方按照相关规定改正。</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为保障服务质量，降低安全风险，提升用户体验，乙方需对云服务平台及相关组件实施更新与升级（如软硬件故障、设备到期替换或切换等），甲方需给予协调与配合。乙方基于云平台运维需要可能对甲方的数据在云平台内部进行迁移，乙方需在操作前向甲方提交方案，获得甲方同意后方可实施，甲方认可并同意在该条件下的数据（含个人数据）迁移不构成乙方对甲方的隐私或保密信息的侵犯。</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6.依据项目情况，甲方有权要求乙方更换项目相关服务人员。</w:t>
      </w:r>
      <w:r/>
    </w:p>
    <w:p>
      <w:pPr>
        <w:pStyle w:val="1523"/>
        <w:ind w:left="0" w:right="0"/>
        <w:pageBreakBefore w:val="0"/>
        <w:spacing w:line="440" w:lineRule="exac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（二）乙方的权利和义务</w:t>
      </w:r>
      <w:r/>
    </w:p>
    <w:p>
      <w:pPr>
        <w:pStyle w:val="1523"/>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合同期内，为保证业务稳定，乙方在未经甲方同意情况下，不允许更换云平台所在的机房。云平台所在机房提供互联网接入线路不得低于2家运营商的线路。乙方负责云平台运营所需的水、电、机柜、带宽、IP、政务专线、政务裸光纤等运行维护费用。</w:t>
      </w:r>
      <w:r/>
    </w:p>
    <w:p>
      <w:pPr>
        <w:pStyle w:val="1523"/>
        <w:ind w:left="0" w:right="0" w:firstLine="480"/>
        <w:pageBreakBefore w:val="0"/>
        <w:spacing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2.合同期内，乙方保证其提供云服务的安全性，交付当日起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半年内</w:t>
      </w:r>
      <w:r>
        <w:rPr>
          <w:rFonts w:hint="eastAsia" w:ascii="宋体" w:hAnsi="宋体" w:eastAsia="宋体" w:cs="宋体"/>
          <w:color w:val="000000" w:themeColor="text1"/>
          <w:sz w:val="24"/>
          <w:szCs w:val="24"/>
          <w:highlight w:val="none"/>
          <w14:textFill>
            <w14:solidFill>
              <w14:schemeClr w14:val="tx1"/>
            </w14:solidFill>
          </w14:textFill>
        </w:rPr>
        <w:t xml:space="preserve">云平台通过国家信息安全等级保护三级认证</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半年内通过</w:t>
      </w:r>
      <w:r>
        <w:rPr>
          <w:rFonts w:hint="eastAsia" w:ascii="宋体" w:hAnsi="宋体" w:eastAsia="宋体" w:cs="宋体"/>
          <w:color w:val="000000" w:themeColor="text1"/>
          <w:sz w:val="24"/>
          <w:szCs w:val="24"/>
          <w:highlight w:val="none"/>
          <w14:textFill>
            <w14:solidFill>
              <w14:schemeClr w14:val="tx1"/>
            </w14:solidFill>
          </w14:textFill>
        </w:rPr>
        <w:t xml:space="preserve">国家商用密码应用安全性评估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服务期内通过云计算安全服务评估。</w:t>
      </w:r>
      <w:r>
        <w:rPr>
          <w:rFonts w:hint="eastAsia" w:ascii="宋体" w:hAnsi="宋体" w:eastAsia="宋体" w:cs="宋体"/>
          <w:color w:val="000000" w:themeColor="text1"/>
          <w:sz w:val="24"/>
          <w:szCs w:val="24"/>
          <w:highlight w:val="none"/>
          <w14:textFill>
            <w14:solidFill>
              <w14:schemeClr w14:val="tx1"/>
            </w14:solidFill>
          </w14:textFill>
        </w:rPr>
        <w:t xml:space="preserve">因云服务（云平台）原因造成的各类安全事故，责任由乙方承担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1523"/>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云平台须包括政务外网和互联网两块核心区域，应满足全方位、多层次的网络接入体系，能够稳定承载各类非涉密政务业务应用系统。政务外网区为政务部门之间信息共享与业务协同的关键通道。互联网区为政务云平台与外部互联网之间搭建了桥梁。</w:t>
      </w:r>
      <w:r/>
    </w:p>
    <w:p>
      <w:pPr>
        <w:pStyle w:val="1523"/>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4.云平台须支持IPv6协议。满足相关监管单位的监管要求。</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5.按照国家相应法律法规要求，在使用云服务产品过程中非乙方上传的数据及应用，引起的经济、政治、法律等责任不由乙方承担。</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乙方提供满足甲方业务需求、适当冗余的云服务资源（包括投入软硬件设备、搭建云平台、提供运维人力等）。乙方按照本合同约定向甲方提供服务，对甲方投诉及时做出书面回复，不断提高服务质量，满足甲方服务需求。</w:t>
      </w:r>
      <w:r/>
    </w:p>
    <w:p>
      <w:pPr>
        <w:pStyle w:val="1523"/>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7.乙方应提供建设云计算平台所需硬件设备，且乙方享有建设云计算平台投入的软硬件设备的产权、替换权及运营权。</w:t>
      </w:r>
      <w:r/>
    </w:p>
    <w:p>
      <w:pPr>
        <w:pStyle w:val="1523"/>
        <w:ind w:left="0" w:right="0" w:firstLine="480"/>
        <w:pageBreakBefore w:val="0"/>
        <w:spacing w:line="44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8.为保障云平台存量业务系统的连续性，乙方必须承担存量业务系统迁移涉及的全部责任（如数据丢失、业务中断、设备和系统损坏、迁移费用等）。云平台初次交付，进行迁移前需经甲方验收，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原云平台部署的系统全部</w:t>
      </w:r>
      <w:r>
        <w:rPr>
          <w:rFonts w:hint="eastAsia" w:ascii="宋体" w:hAnsi="宋体" w:eastAsia="宋体" w:cs="宋体"/>
          <w:color w:val="000000" w:themeColor="text1"/>
          <w:sz w:val="24"/>
          <w:szCs w:val="24"/>
          <w:highlight w:val="none"/>
          <w14:textFill>
            <w14:solidFill>
              <w14:schemeClr w14:val="tx1"/>
            </w14:solidFill>
          </w14:textFill>
        </w:rPr>
        <w:t xml:space="preserve">迁移完成</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后</w:t>
      </w:r>
      <w:r>
        <w:rPr>
          <w:rFonts w:hint="eastAsia" w:ascii="宋体" w:hAnsi="宋体" w:eastAsia="宋体" w:cs="宋体"/>
          <w:color w:val="000000" w:themeColor="text1"/>
          <w:sz w:val="24"/>
          <w:szCs w:val="24"/>
          <w:highlight w:val="none"/>
          <w14:textFill>
            <w14:solidFill>
              <w14:schemeClr w14:val="tx1"/>
            </w14:solidFill>
          </w14:textFill>
        </w:rPr>
        <w:t xml:space="preserve">，经甲方确认后开始计费。乙方必须在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天内完成存量系统迁移、数据迁移和测试，在迁移过程中产生的人力物力、协调配合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等</w:t>
      </w:r>
      <w:r>
        <w:rPr>
          <w:rFonts w:hint="eastAsia" w:ascii="宋体" w:hAnsi="宋体" w:eastAsia="宋体" w:cs="宋体"/>
          <w:color w:val="000000" w:themeColor="text1"/>
          <w:sz w:val="24"/>
          <w:szCs w:val="24"/>
          <w:highlight w:val="none"/>
          <w14:textFill>
            <w14:solidFill>
              <w14:schemeClr w14:val="tx1"/>
            </w14:solidFill>
          </w14:textFill>
        </w:rPr>
        <w:t xml:space="preserve">相关费用均由乙方负责处理和承担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天后仍未完成迁移工作，甲方有权终止合同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并扣除履约保证金。</w:t>
      </w:r>
      <w:r/>
    </w:p>
    <w:p>
      <w:pPr>
        <w:pStyle w:val="1523"/>
        <w:ind w:left="0" w:right="0" w:firstLine="480"/>
        <w:pageBreakBefore w:val="0"/>
        <w:spacing w:line="44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乙方应严格按照甲方要求及上级信创工作部署，开展云计算平台技术路线与设备替换工作。凡明确要求采用信创国产化技术路线的，须于2027年12月31日前全面完成替换。乙方未在甲方规定时限内完成前述工作的，甲方有权单方终止服务，相关责任及损失由乙方自行承担。</w:t>
      </w:r>
      <w:r/>
    </w:p>
    <w:p>
      <w:pPr>
        <w:pStyle w:val="1523"/>
        <w:ind w:left="0" w:right="0" w:firstLine="482"/>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六、质量保证</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乙方所提供服务必须执行下列条款：</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（一）服务方案和方式科学、可行，人员配置合理，全面满足要求。</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（二）符合国家有关服务规范要求，确保各项服务达到最佳运行效果。</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（三）乙方提供的服务，若发生侵权而产生的一切后果，由乙方负责。甲方保留索赔权利。</w:t>
      </w:r>
      <w:r/>
    </w:p>
    <w:p>
      <w:pPr>
        <w:pStyle w:val="1523"/>
        <w:ind w:left="0" w:right="0" w:firstLine="482"/>
        <w:pageBreakBefore w:val="0"/>
        <w:spacing w:line="44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七、服务考核与验收</w:t>
      </w:r>
      <w:r/>
    </w:p>
    <w:p>
      <w:pPr>
        <w:pStyle w:val="1523"/>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提供服务前要进行初验</w:t>
      </w:r>
      <w:r>
        <w:rPr>
          <w:rFonts w:hint="eastAsia" w:ascii="宋体" w:hAnsi="宋体" w:eastAsia="宋体" w:cs="宋体"/>
          <w:color w:val="000000" w:themeColor="text1"/>
          <w:sz w:val="24"/>
          <w:szCs w:val="24"/>
          <w:highlight w:val="none"/>
          <w14:textFill>
            <w14:solidFill>
              <w14:schemeClr w14:val="tx1"/>
            </w14:solidFill>
          </w14:textFill>
        </w:rPr>
        <w:t xml:space="preserve">，先由乙方进行自检，自检合格后申请甲方进行验收。甲方确认乙方的自检内容后，组织验收，验收时乙方应派人员参加，共同对验收结果进行确认，并承担相关责任。</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（二）乙方向甲方提交服务实施过程中的所有资料。以便甲方日后管理和维护。</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（三）验收依据</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1.招标文件、投标文件、澄清表（函）；</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2.本合同及附件文本；</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3.国家相应的标准、规范；</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4.考核结果</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（四）验收标准</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1.验收时按照乙方投标文件中的参数响应表验收（详见附件六《技术参数响应表》）。</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2.验收时按照服务实际使用量进行核对验收。</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3.按照考核办法进行验收。</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（五）考核办法</w:t>
      </w:r>
      <w:r/>
    </w:p>
    <w:p>
      <w:pPr>
        <w:pStyle w:val="1523"/>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服务周期内定期进行考核，对乙方在服务期内提供的服务进行考核打分。考评体系参考附件三《服务考核指标体系》。根据服务考核得分，考核结果分为良好、基本合格、不合格三个档次，各档次应用如下：</w:t>
      </w:r>
      <w:r/>
    </w:p>
    <w:p>
      <w:pPr>
        <w:pStyle w:val="1523"/>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1.服务考核得分≥90分为良好档次，当次服务费支付标准为云服务费用据实结算金额的100%，按合同约定向乙方全额支付服务费用。</w:t>
      </w:r>
      <w:r/>
    </w:p>
    <w:p>
      <w:pPr>
        <w:pStyle w:val="1523"/>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2.80分≤服务考核得分＜90分为基本合格档次，扣除乙方云服务费用据实结算金额的5%，同时打分单位需要对打分进行说明；</w:t>
      </w:r>
      <w:r/>
    </w:p>
    <w:p>
      <w:pPr>
        <w:pStyle w:val="1523"/>
        <w:numPr>
          <w:ilvl w:val="0"/>
          <w:numId w:val="0"/>
        </w:numPr>
        <w:ind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服务考核得分＜80分为不合格档次，扣除乙方云服务费用据实结算金额的15%，同时打分单位需要对打分进行说明。甲方有权终止合同。</w:t>
      </w:r>
      <w:r/>
    </w:p>
    <w:p>
      <w:pPr>
        <w:pStyle w:val="1523"/>
        <w:numPr>
          <w:ilvl w:val="0"/>
          <w:numId w:val="0"/>
        </w:numPr>
        <w:ind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关于验收的其他要求</w:t>
      </w:r>
      <w:r/>
    </w:p>
    <w:p>
      <w:pPr>
        <w:numPr>
          <w:ilvl w:val="0"/>
          <w:numId w:val="0"/>
        </w:numPr>
        <w:ind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（1）验收组织方式：</w:t>
      </w:r>
      <w:r>
        <w:rPr>
          <w:rFonts w:ascii="Wingdings" w:hAnsi="Wingdings" w:eastAsia="Wingdings" w:cs="Wingdings"/>
          <w:color w:val="000000" w:themeColor="text1"/>
          <w:sz w:val="24"/>
          <w:highlight w:val="none"/>
          <w14:textFill>
            <w14:solidFill>
              <w14:schemeClr w14:val="tx1"/>
            </w14:solidFill>
          </w14:textFill>
        </w:rPr>
        <w:t xml:space="preserve">þ</w:t>
      </w:r>
      <w:r>
        <w:rPr>
          <w:rFonts w:hint="eastAsia" w:ascii="宋体" w:hAnsi="宋体" w:eastAsia="宋体" w:cs="宋体"/>
          <w:color w:val="000000" w:themeColor="text1"/>
          <w:sz w:val="24"/>
          <w:szCs w:val="24"/>
          <w:highlight w:val="none"/>
          <w14:textFill>
            <w14:solidFill>
              <w14:schemeClr w14:val="tx1"/>
            </w14:solidFill>
          </w14:textFill>
        </w:rPr>
        <w:t xml:space="preserve">自行组织 </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委托第三方组织</w:t>
      </w:r>
      <w:r/>
    </w:p>
    <w:p>
      <w:pPr>
        <w:ind w:right="0" w:firstLine="1152"/>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验收主体：</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left="0" w:right="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是否邀请本项目的其他供应商参加验收：</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 xml:space="preserve">þ</w:t>
      </w:r>
      <w:r>
        <w:rPr>
          <w:rFonts w:hint="eastAsia" w:ascii="宋体" w:hAnsi="宋体" w:eastAsia="宋体" w:cs="宋体"/>
          <w:color w:val="000000" w:themeColor="text1"/>
          <w:sz w:val="24"/>
          <w:szCs w:val="24"/>
          <w:highlight w:val="none"/>
          <w14:textFill>
            <w14:solidFill>
              <w14:schemeClr w14:val="tx1"/>
            </w14:solidFill>
          </w14:textFill>
        </w:rPr>
        <w:t xml:space="preserve">否</w:t>
      </w:r>
      <w:r/>
    </w:p>
    <w:p>
      <w:pPr>
        <w:ind w:left="0" w:right="0" w:firstLine="120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是否邀请专家参加验收：</w:t>
      </w:r>
      <w:r>
        <w:rPr>
          <w:rFonts w:ascii="Wingdings" w:hAnsi="Wingdings" w:eastAsia="Wingdings" w:cs="Wingdings"/>
          <w:color w:val="000000" w:themeColor="text1"/>
          <w:sz w:val="24"/>
          <w:highlight w:val="none"/>
          <w14:textFill>
            <w14:solidFill>
              <w14:schemeClr w14:val="tx1"/>
            </w14:solidFill>
          </w14:textFill>
        </w:rPr>
        <w:t xml:space="preserve">þ</w:t>
      </w:r>
      <w:r>
        <w:rPr>
          <w:rFonts w:hint="eastAsia" w:ascii="宋体" w:hAnsi="宋体" w:eastAsia="宋体" w:cs="宋体"/>
          <w:color w:val="000000" w:themeColor="text1"/>
          <w:sz w:val="24"/>
          <w:szCs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否</w:t>
      </w:r>
      <w:r/>
    </w:p>
    <w:p>
      <w:pPr>
        <w:ind w:right="0" w:firstLine="1152"/>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是否邀请服务对象参加验收：</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 xml:space="preserve">þ</w:t>
      </w:r>
      <w:r>
        <w:rPr>
          <w:rFonts w:hint="eastAsia" w:ascii="宋体" w:hAnsi="宋体" w:eastAsia="宋体" w:cs="宋体"/>
          <w:color w:val="000000" w:themeColor="text1"/>
          <w:sz w:val="24"/>
          <w:szCs w:val="24"/>
          <w:highlight w:val="none"/>
          <w14:textFill>
            <w14:solidFill>
              <w14:schemeClr w14:val="tx1"/>
            </w14:solidFill>
          </w14:textFill>
        </w:rPr>
        <w:t xml:space="preserve">否</w:t>
      </w:r>
      <w:r/>
    </w:p>
    <w:p>
      <w:pPr>
        <w:ind w:left="0" w:right="0" w:firstLine="120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是否邀请第三方检测机构参加验收：</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 xml:space="preserve">þ</w:t>
      </w:r>
      <w:r>
        <w:rPr>
          <w:rFonts w:hint="eastAsia" w:ascii="宋体" w:hAnsi="宋体" w:eastAsia="宋体" w:cs="宋体"/>
          <w:color w:val="000000" w:themeColor="text1"/>
          <w:sz w:val="24"/>
          <w:szCs w:val="24"/>
          <w:highlight w:val="none"/>
          <w14:textFill>
            <w14:solidFill>
              <w14:schemeClr w14:val="tx1"/>
            </w14:solidFill>
          </w14:textFill>
        </w:rPr>
        <w:t xml:space="preserve">否</w:t>
      </w:r>
      <w:r/>
    </w:p>
    <w:p>
      <w:pPr>
        <w:ind w:left="0" w:right="0" w:firstLine="120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是否进行抽查：</w:t>
      </w:r>
      <w:r>
        <w:rPr>
          <w:rFonts w:ascii="Wingdings" w:hAnsi="Wingdings" w:eastAsia="Wingdings" w:cs="Wingdings"/>
          <w:color w:val="000000" w:themeColor="text1"/>
          <w:sz w:val="24"/>
          <w:highlight w:val="none"/>
          <w14:textFill>
            <w14:solidFill>
              <w14:schemeClr w14:val="tx1"/>
            </w14:solidFill>
          </w14:textFill>
        </w:rPr>
        <w:t xml:space="preserve">þ</w:t>
      </w:r>
      <w:r>
        <w:rPr>
          <w:rFonts w:hint="eastAsia" w:ascii="宋体" w:hAnsi="宋体" w:eastAsia="宋体" w:cs="宋体"/>
          <w:color w:val="000000" w:themeColor="text1"/>
          <w:sz w:val="24"/>
          <w:szCs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否</w:t>
      </w:r>
      <w:r/>
    </w:p>
    <w:p>
      <w:pPr>
        <w:ind w:left="0" w:right="0" w:firstLine="1200"/>
        <w:pageBreakBefore w:val="0"/>
        <w:spacing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如果履约验收涉及检测（检验）费、专业技术人员费用等费用由</w:t>
      </w:r>
      <w:r>
        <w:rPr>
          <w:rFonts w:hint="eastAsia" w:ascii="宋体" w:hAnsi="宋体" w:eastAsia="宋体" w:cs="宋体"/>
          <w:color w:val="000000" w:themeColor="text1"/>
          <w:sz w:val="24"/>
          <w:szCs w:val="24"/>
          <w:highlight w:val="none"/>
          <w:u w:val="single"/>
          <w14:textFill>
            <w14:solidFill>
              <w14:schemeClr w14:val="tx1"/>
            </w14:solidFill>
          </w14:textFill>
        </w:rPr>
        <w:t xml:space="preserve"> 乙方   </w:t>
      </w:r>
      <w:r>
        <w:rPr>
          <w:rFonts w:hint="eastAsia" w:ascii="宋体" w:hAnsi="宋体" w:eastAsia="宋体" w:cs="宋体"/>
          <w:color w:val="000000" w:themeColor="text1"/>
          <w:sz w:val="24"/>
          <w:szCs w:val="24"/>
          <w:highlight w:val="none"/>
          <w14:textFill>
            <w14:solidFill>
              <w14:schemeClr w14:val="tx1"/>
            </w14:solidFill>
          </w14:textFill>
        </w:rPr>
        <w:t xml:space="preserve">承担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right="0" w:firstLine="1152"/>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验收组织的其他事项：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（2）履约验收时间：（计划于何时验收/供应商提出验收申请之日起</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5个工作</w:t>
      </w:r>
      <w:r>
        <w:rPr>
          <w:rFonts w:hint="eastAsia" w:ascii="宋体" w:hAnsi="宋体" w:eastAsia="宋体" w:cs="宋体"/>
          <w:color w:val="000000" w:themeColor="text1"/>
          <w:sz w:val="24"/>
          <w:szCs w:val="24"/>
          <w:highlight w:val="none"/>
          <w14:textFill>
            <w14:solidFill>
              <w14:schemeClr w14:val="tx1"/>
            </w14:solidFill>
          </w14:textFill>
        </w:rPr>
        <w:t xml:space="preserve">日内组织验收） </w:t>
      </w:r>
      <w:r/>
    </w:p>
    <w:p>
      <w:pPr>
        <w:pStyle w:val="1521"/>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（3）履约验收方式：</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一次性验收         </w:t>
      </w:r>
      <w:r/>
    </w:p>
    <w:p>
      <w:pPr>
        <w:pStyle w:val="1521"/>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ascii="Wingdings" w:hAnsi="Wingdings" w:eastAsia="Wingdings" w:cs="Wingdings"/>
          <w:color w:val="000000" w:themeColor="text1"/>
          <w:sz w:val="24"/>
          <w:highlight w:val="none"/>
          <w14:textFill>
            <w14:solidFill>
              <w14:schemeClr w14:val="tx1"/>
            </w14:solidFill>
          </w14:textFill>
        </w:rPr>
        <w:t xml:space="preserve">þ</w:t>
      </w:r>
      <w:r>
        <w:rPr>
          <w:rFonts w:hint="eastAsia" w:ascii="宋体" w:hAnsi="宋体" w:eastAsia="宋体" w:cs="宋体"/>
          <w:color w:val="000000" w:themeColor="text1"/>
          <w:sz w:val="24"/>
          <w:szCs w:val="24"/>
          <w:highlight w:val="none"/>
          <w14:textFill>
            <w14:solidFill>
              <w14:schemeClr w14:val="tx1"/>
            </w14:solidFill>
          </w14:textFill>
        </w:rPr>
        <w:t xml:space="preserve">分期/分项验收：</w:t>
      </w:r>
      <w:r>
        <w:rPr>
          <w:rFonts w:hint="eastAsia" w:ascii="宋体" w:hAnsi="宋体" w:eastAsia="宋体" w:cs="宋体"/>
          <w:color w:val="000000" w:themeColor="text1"/>
          <w:sz w:val="24"/>
          <w:szCs w:val="24"/>
          <w:highlight w:val="none"/>
          <w:u w:val="single"/>
          <w14:textFill>
            <w14:solidFill>
              <w14:schemeClr w14:val="tx1"/>
            </w14:solidFill>
          </w14:textFill>
        </w:rPr>
        <w:t xml:space="preserve">（应明确分期/分项验收的工作安排）  </w:t>
      </w:r>
      <w:r/>
    </w:p>
    <w:p>
      <w:pPr>
        <w:pStyle w:val="1521"/>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（4）履约验收程序：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pStyle w:val="1521"/>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（5）履约验收的内容：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（应当包括每一项技术和商务要求的履约情况，特别是落实政府采购扶持中小企业，支持绿色发展和乡村振兴等政策情况。）</w:t>
      </w:r>
      <w:r/>
    </w:p>
    <w:p>
      <w:pPr>
        <w:pStyle w:val="1521"/>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（6）履约验收标准：</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pStyle w:val="1521"/>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（7）履约验收其他事项：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（8）履约验收要求按照江苏省财政厅《关于印发&lt;江苏省政府采购履约验收管理办法&gt;的通知》（苏财规〔2024〕7号）的规定执行。合同与上述文件规定有矛盾的，以上述文件规定为准。</w:t>
      </w:r>
      <w:r/>
    </w:p>
    <w:p>
      <w:pPr>
        <w:ind w:left="0" w:right="0" w:firstLine="482"/>
        <w:pageBreakBefore w:val="0"/>
        <w:spacing w:line="44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八、数据所有权</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系统所产生的数据所有权归云上用户所有。</w:t>
      </w:r>
      <w:r/>
    </w:p>
    <w:p>
      <w:pPr>
        <w:pStyle w:val="1523"/>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乙方不得未经甲方明确书面同意，将系统数据用作任何商业或非商业的使用，或将信息提供给乙方以外的任何第三方，包括甲方关联企业、乙方关联企业。否则，乙方应向甲方支付合同金额30%的违约金，并赔偿甲方因此造成的其他直接及间接利益损失，包括可预期商业利益的损失。其他违反《中华人民共和国数据安全法》相关规定的，依法承担相关法律责任。</w:t>
      </w:r>
      <w:r/>
    </w:p>
    <w:p>
      <w:pPr>
        <w:pStyle w:val="1523"/>
        <w:ind w:left="0" w:right="0" w:firstLine="482"/>
        <w:pageBreakBefore w:val="0"/>
        <w:spacing w:line="44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九、不可抗力</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（一）如本合同任何一方由于战争、火灾、水灾、台风、地震、政策因素等不可抗力事情而致使本合同无法按期履行，任何一方无须对上述延误所引起的损失或损害负赔偿责任。</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（二）受阻方应将不可抗力事情的发生在尽可能最短的时间内通知另一方，并在其后15日内向另一方发出有关部门出具的证明书或其他为公众认可的资料作为证明。</w:t>
      </w:r>
      <w:r/>
    </w:p>
    <w:p>
      <w:pPr>
        <w:pStyle w:val="1523"/>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（三）如不可抗力因素的影响超过90日，双方应尽快进行友好协商，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调整</w:t>
      </w:r>
      <w:r>
        <w:rPr>
          <w:rFonts w:hint="eastAsia" w:ascii="宋体" w:hAnsi="宋体" w:eastAsia="宋体" w:cs="宋体"/>
          <w:color w:val="000000" w:themeColor="text1"/>
          <w:sz w:val="24"/>
          <w:szCs w:val="24"/>
          <w:highlight w:val="none"/>
          <w14:textFill>
            <w14:solidFill>
              <w14:schemeClr w14:val="tx1"/>
            </w14:solidFill>
          </w14:textFill>
        </w:rPr>
        <w:t xml:space="preserve">继续履行本合同的方法。</w:t>
      </w:r>
      <w:r/>
    </w:p>
    <w:p>
      <w:pPr>
        <w:pStyle w:val="1523"/>
        <w:ind w:left="0" w:right="0" w:firstLine="480"/>
        <w:pageBreakBefore w:val="0"/>
        <w:spacing w:line="440" w:lineRule="exact"/>
        <w:rPr>
          <w:rFonts w:hint="eastAsia"/>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若因上级政策调整、管控要求等不可抗力因素，导致本项目采购服务无法继续实施（含上级明确禁止采购相关服务），本项目相关协议可依法终止，双方按实际履约情况结算相关费用，互不承担额外违约责任。</w:t>
      </w:r>
      <w:r/>
    </w:p>
    <w:p>
      <w:pPr>
        <w:pStyle w:val="1523"/>
        <w:ind w:left="0" w:right="0" w:firstLine="482"/>
        <w:pageBreakBefore w:val="0"/>
        <w:spacing w:line="44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十、违约责任</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按《民法典》中的相关条款执行。</w:t>
      </w:r>
      <w:r/>
    </w:p>
    <w:p>
      <w:pPr>
        <w:pStyle w:val="1523"/>
        <w:numPr>
          <w:ilvl w:val="0"/>
          <w:numId w:val="0"/>
        </w:numPr>
        <w:ind w:right="0" w:firstLine="48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（一）甲方违约与责任</w:t>
      </w:r>
      <w:r/>
    </w:p>
    <w:p>
      <w:pPr>
        <w:pStyle w:val="1523"/>
        <w:numPr>
          <w:ilvl w:val="0"/>
          <w:numId w:val="0"/>
        </w:numPr>
        <w:ind w:right="0" w:firstLine="48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甲方使用云平台产品或服务时，将遵从国家、地方法律法规、行业规范和社会公共道德，不得利用云平台提供的服务进行存储、发布、传播非法信息和内容。因此对乙方造成损失的，甲方应承担相应的赔偿责任。</w:t>
      </w:r>
      <w:r/>
    </w:p>
    <w:p>
      <w:pPr>
        <w:pStyle w:val="1523"/>
        <w:numPr>
          <w:ilvl w:val="0"/>
          <w:numId w:val="0"/>
        </w:numPr>
        <w:ind w:right="0" w:firstLine="48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2.甲方不得出售或出租乙方所提供的产品和服务，不得复制、提取、出售或出租所提供软件的任何部分。因此对乙方造成损失的，甲方应承担相应的赔偿责任。</w:t>
      </w:r>
      <w:r/>
    </w:p>
    <w:p>
      <w:pPr>
        <w:pStyle w:val="1523"/>
        <w:numPr>
          <w:ilvl w:val="0"/>
          <w:numId w:val="0"/>
        </w:numPr>
        <w:ind w:right="0" w:firstLine="48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3.未经乙方同意，甲方不得擅自进入或指派第三方人员进入云计算资源中心进行有关操作，因此造成损失的，甲方应承担相应的赔偿责任。</w:t>
      </w:r>
      <w:r/>
    </w:p>
    <w:p>
      <w:pPr>
        <w:pStyle w:val="1523"/>
        <w:numPr>
          <w:ilvl w:val="0"/>
          <w:numId w:val="0"/>
        </w:numPr>
        <w:ind w:right="0" w:firstLine="480"/>
        <w:pageBreakBefore w:val="0"/>
        <w:spacing w:line="44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甲方逾期付费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在约定期限内未启动支付流程</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的，除向乙方补缴欠费外，每逾期1个工作日应按照所欠金额的</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向乙方支付违约金。</w:t>
      </w:r>
      <w:r/>
    </w:p>
    <w:p>
      <w:pPr>
        <w:pStyle w:val="1523"/>
        <w:numPr>
          <w:ilvl w:val="0"/>
          <w:numId w:val="0"/>
        </w:numPr>
        <w:ind w:right="0" w:firstLine="48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（二）乙方违约与责任</w:t>
      </w:r>
      <w:r/>
    </w:p>
    <w:p>
      <w:pPr>
        <w:pStyle w:val="1523"/>
        <w:numPr>
          <w:ilvl w:val="0"/>
          <w:numId w:val="0"/>
        </w:numPr>
        <w:ind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未按合同要求提供服务或服务质量不能满足合同要求，甲方应当将乙方违约的情况以及拟采取的措施以书面形式报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县</w:t>
      </w:r>
      <w:r>
        <w:rPr>
          <w:rFonts w:hint="eastAsia" w:ascii="宋体" w:hAnsi="宋体" w:eastAsia="宋体" w:cs="宋体"/>
          <w:color w:val="000000" w:themeColor="text1"/>
          <w:sz w:val="24"/>
          <w:szCs w:val="24"/>
          <w:highlight w:val="none"/>
          <w14:textFill>
            <w14:solidFill>
              <w14:schemeClr w14:val="tx1"/>
            </w14:solidFill>
          </w14:textFill>
        </w:rPr>
        <w:t xml:space="preserve">财政局，根据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县</w:t>
      </w:r>
      <w:r>
        <w:rPr>
          <w:rFonts w:hint="eastAsia" w:ascii="宋体" w:hAnsi="宋体" w:eastAsia="宋体" w:cs="宋体"/>
          <w:color w:val="000000" w:themeColor="text1"/>
          <w:sz w:val="24"/>
          <w:szCs w:val="24"/>
          <w:highlight w:val="none"/>
          <w14:textFill>
            <w14:solidFill>
              <w14:schemeClr w14:val="tx1"/>
            </w14:solidFill>
          </w14:textFill>
        </w:rPr>
        <w:t xml:space="preserve">财政局的处理意见，甲方有权依据《民法典》有关条款及合同约定终止合同，并要求乙方承担违约责任。同时，政府采购监管部门有权依据《政府采购法》及相关法律法规对乙方的违法行为进行相应的处罚。</w:t>
      </w:r>
      <w:r/>
    </w:p>
    <w:p>
      <w:pPr>
        <w:ind w:left="0" w:right="0" w:firstLine="480"/>
        <w:pageBreakBefore w:val="0"/>
        <w:spacing w:line="440" w:lineRule="exact"/>
        <w:tabs>
          <w:tab w:val="left" w:pos="720" w:leader="none"/>
          <w:tab w:val="left" w:pos="900" w:leader="none"/>
        </w:tabs>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乙方未能按本合同规定的服务时间提供服务，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主要包括签订合同内30天内未通过初验，初验后30天内未迁移完原有云业务，初验后半年内未通过等保三级测评和密评。</w:t>
      </w:r>
      <w:r>
        <w:rPr>
          <w:rFonts w:hint="eastAsia" w:ascii="宋体" w:hAnsi="宋体" w:eastAsia="宋体" w:cs="宋体"/>
          <w:color w:val="000000" w:themeColor="text1"/>
          <w:sz w:val="24"/>
          <w:szCs w:val="24"/>
          <w:highlight w:val="none"/>
          <w14:textFill>
            <w14:solidFill>
              <w14:schemeClr w14:val="tx1"/>
            </w14:solidFill>
          </w14:textFill>
        </w:rPr>
        <w:t xml:space="preserve">从逾期之日起每日按本合同总价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1‰</w:t>
      </w:r>
      <w:r>
        <w:rPr>
          <w:rFonts w:hint="eastAsia" w:ascii="宋体" w:hAnsi="宋体" w:eastAsia="宋体" w:cs="宋体"/>
          <w:color w:val="000000" w:themeColor="text1"/>
          <w:sz w:val="24"/>
          <w:szCs w:val="24"/>
          <w:highlight w:val="none"/>
          <w14:textFill>
            <w14:solidFill>
              <w14:schemeClr w14:val="tx1"/>
            </w14:solidFill>
          </w14:textFill>
        </w:rPr>
        <w:t xml:space="preserve">的数额向甲方支付违约金；逾期七天以上的，甲方有权终止合同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由此造成的甲方经济损失由乙方承担。</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如发生以上需支付违约金情况，验收后由甲方通知乙方通过银行转账支付甲方相应账号。</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乙方应保证所提供的产品和服务不会出现因第三方提出侵犯其专利权、商标权或其他知识产权而引发法律或经济纠纷，否则由乙方承担全部责任。任何被乙方用于未经授权的商业目的行为所造成的违约或侵权责任由乙方承担。</w:t>
      </w:r>
      <w:r/>
    </w:p>
    <w:p>
      <w:pPr>
        <w:pStyle w:val="1523"/>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由于乙方提供的软硬件产品发生故障，不能使用或部分不能使用的，若乙方未能及时提供维修或排除故障（“及时”参照附件《服务考核指标体系》的服务响应性），乙方应该按照甲方要求在规定期限内进行整改和完善，由此产生的费用和对甲方造成的损失由乙方承担，如乙方严重违约导致合同目的不能实现，甲方有权终止合同，由此产生的费用和对甲方造成的损失由乙方承担。</w:t>
      </w:r>
      <w:r/>
    </w:p>
    <w:p>
      <w:pPr>
        <w:pStyle w:val="1523"/>
        <w:ind w:left="0" w:right="0" w:firstLine="482"/>
        <w:pageBreakBefore w:val="0"/>
        <w:spacing w:line="44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十一、保密条款</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乙方应遵守国家有关保密的法律法规和行业规定，并对甲方提供的资料负有保密义务。未经甲方同意，不得将所承接的政府服务项目获得的政府、公民个人等各种信息和资料提供给其他单位和个人。如发生以上情况，甲方有权索赔。</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甲方有义务保护乙方的知识产权，未经乙方同意，不得将乙方交付的具有知识产权性质的成果文件、资料向第三方转让或用于本合同以外的项目。如发生以上情况,乙方有权索赔,但甲方依据相关法定职责对外公开的除外。</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（三）本条款为独立条款,本合同的无效、变更、解除和终止均不影响本条款的效力。</w:t>
      </w:r>
      <w:r/>
    </w:p>
    <w:p>
      <w:pPr>
        <w:pStyle w:val="1523"/>
        <w:ind w:left="0" w:right="0" w:firstLine="482"/>
        <w:pageBreakBefore w:val="0"/>
        <w:spacing w:line="44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十二、争议解决</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（一）本合同在履行过程中发生的争议,由甲、乙双方当事人协商解决,协商不成的按下列第</w:t>
      </w:r>
      <w:r>
        <w:rPr>
          <w:rFonts w:hint="eastAsia" w:ascii="宋体" w:hAnsi="宋体" w:eastAsia="宋体" w:cs="宋体"/>
          <w:color w:val="000000" w:themeColor="text1"/>
          <w:sz w:val="24"/>
          <w:szCs w:val="24"/>
          <w:highlight w:val="none"/>
          <w:u w:val="single"/>
          <w14:textFill>
            <w14:solidFill>
              <w14:schemeClr w14:val="tx1"/>
            </w14:solidFill>
          </w14:textFill>
        </w:rPr>
        <w:t xml:space="preserve"> 2 </w:t>
      </w:r>
      <w:r>
        <w:rPr>
          <w:rFonts w:hint="eastAsia" w:ascii="宋体" w:hAnsi="宋体" w:eastAsia="宋体" w:cs="宋体"/>
          <w:color w:val="000000" w:themeColor="text1"/>
          <w:sz w:val="24"/>
          <w:szCs w:val="24"/>
          <w:highlight w:val="none"/>
          <w14:textFill>
            <w14:solidFill>
              <w14:schemeClr w14:val="tx1"/>
            </w14:solidFill>
          </w14:textFill>
        </w:rPr>
        <w:t xml:space="preserve">种方式解决:</w:t>
      </w:r>
      <w:r/>
    </w:p>
    <w:p>
      <w:pPr>
        <w:pStyle w:val="1523"/>
        <w:ind w:left="0" w:right="0" w:firstLine="480"/>
        <w:pageBreakBefore w:val="0"/>
        <w:spacing w:line="440" w:lineRule="exact"/>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.甲乙双方友好协商；</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.甲乙双方协商不成的，</w:t>
      </w:r>
      <w:r>
        <w:rPr>
          <w:rFonts w:hint="eastAsia" w:ascii="宋体" w:hAnsi="宋体" w:eastAsia="宋体" w:cs="宋体"/>
          <w:color w:val="000000" w:themeColor="text1"/>
          <w:sz w:val="24"/>
          <w:szCs w:val="24"/>
          <w:highlight w:val="none"/>
          <w14:textFill>
            <w14:solidFill>
              <w14:schemeClr w14:val="tx1"/>
            </w14:solidFill>
          </w14:textFill>
        </w:rPr>
        <w:t xml:space="preserve">依法向甲方所在地人民法院起诉。</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（二）本条款为独立条款</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本合同的无效、变更、解除和终止均不影响本条款的效力。</w:t>
      </w:r>
      <w:r/>
    </w:p>
    <w:p>
      <w:pPr>
        <w:pStyle w:val="1523"/>
        <w:ind w:left="0" w:right="0" w:firstLine="482"/>
        <w:pageBreakBefore w:val="0"/>
        <w:spacing w:line="44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十三、合同变更</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在合同的执行期内,双方均不得随意变更或解除合同。如因项目需求情况发生变化，需要项目变更的，应双方协商后签订项目变更协议，双方确认后生效（如双方变更事项不能达成一致的，仍按原合同履行，否则视为违约）。</w:t>
      </w:r>
      <w:r/>
    </w:p>
    <w:p>
      <w:pPr>
        <w:pStyle w:val="1523"/>
        <w:ind w:left="0" w:right="0" w:firstLine="480"/>
        <w:pageBreakBefore w:val="0"/>
        <w:spacing w:line="440" w:lineRule="exact"/>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十四、合同生效</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1.本合同甲、乙双方授权签字并盖章后生效。</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2.甲方收到乙方提交的人民币</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贰拾万元</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的履约保证金。</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3.本合同一式陆份，甲方持叁份，乙方持叁份，合同执行完毕后自动失效（合同的服务承诺则长期有效）。</w:t>
      </w:r>
      <w:r/>
    </w:p>
    <w:p>
      <w:pPr>
        <w:pStyle w:val="1523"/>
        <w:ind w:left="0" w:right="0" w:firstLine="482"/>
        <w:pageBreakBefore w:val="0"/>
        <w:spacing w:line="44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十五、其他事项</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（由甲乙双方协商确定）。</w:t>
      </w:r>
      <w:r/>
    </w:p>
    <w:p>
      <w:pPr>
        <w:pStyle w:val="1523"/>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附件一：《保密协议》</w:t>
      </w:r>
      <w:r/>
    </w:p>
    <w:p>
      <w:pPr>
        <w:pStyle w:val="1523"/>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附件二：《信息安全责任书》</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附件三：《服务考核指标体系》</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附件四：《云平台服务条目清单及价格》</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附件五：《云服务费结算单》</w:t>
      </w:r>
      <w:r/>
    </w:p>
    <w:p>
      <w:pPr>
        <w:pStyle w:val="1523"/>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附件六：《技术参数响应表》</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（以下无正文）</w:t>
      </w:r>
      <w:r/>
    </w:p>
    <w:p>
      <w:pPr>
        <w:pStyle w:val="1523"/>
        <w:ind w:left="0" w:right="0" w:firstLine="480"/>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bl>
      <w:tblPr>
        <w:tblStyle w:val="1105"/>
        <w:tblW w:w="853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85"/>
        <w:gridCol w:w="4546"/>
      </w:tblGrid>
      <w:tr>
        <w:trPr>
          <w:jc w:val="center"/>
          <w:trHeight w:val="535"/>
        </w:trPr>
        <w:tc>
          <w:tcPr>
            <w:tcW w:w="3985" w:type="dxa"/>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b w:val="0"/>
                <w:bCs/>
                <w:color w:val="000000" w:themeColor="text1"/>
                <w:spacing w:val="-20"/>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甲方</w:t>
            </w:r>
            <w:r/>
          </w:p>
        </w:tc>
        <w:tc>
          <w:tcPr>
            <w:tcW w:w="4546" w:type="dxa"/>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b w:val="0"/>
                <w:bCs/>
                <w:color w:val="000000" w:themeColor="text1"/>
                <w:spacing w:val="-20"/>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乙方</w:t>
            </w:r>
            <w:r/>
          </w:p>
        </w:tc>
      </w:tr>
      <w:tr>
        <w:trPr>
          <w:jc w:val="center"/>
          <w:trHeight w:val="956"/>
        </w:trPr>
        <w:tc>
          <w:tcPr>
            <w:tcW w:w="3985" w:type="dxa"/>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b w:val="0"/>
                <w:bCs/>
                <w:color w:val="000000" w:themeColor="text1"/>
                <w:spacing w:val="-20"/>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（盖章）</w:t>
            </w:r>
            <w:r/>
          </w:p>
        </w:tc>
        <w:tc>
          <w:tcPr>
            <w:tcW w:w="4546" w:type="dxa"/>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（盖章）</w:t>
            </w:r>
            <w:r/>
          </w:p>
        </w:tc>
      </w:tr>
      <w:tr>
        <w:trPr>
          <w:jc w:val="center"/>
          <w:trHeight w:val="686"/>
        </w:trPr>
        <w:tc>
          <w:tcPr>
            <w:tcW w:w="3985" w:type="dxa"/>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b w:val="0"/>
                <w:bCs/>
                <w:color w:val="000000" w:themeColor="text1"/>
                <w:spacing w:val="-20"/>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法定代表人（签字）：</w:t>
            </w:r>
            <w:r/>
          </w:p>
        </w:tc>
        <w:tc>
          <w:tcPr>
            <w:tcW w:w="4546" w:type="dxa"/>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b w:val="0"/>
                <w:bCs/>
                <w:color w:val="000000" w:themeColor="text1"/>
                <w:spacing w:val="-20"/>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法定代表人（签字）：</w:t>
            </w:r>
            <w:r/>
          </w:p>
        </w:tc>
      </w:tr>
      <w:tr>
        <w:trPr>
          <w:jc w:val="center"/>
          <w:trHeight w:val="771"/>
        </w:trPr>
        <w:tc>
          <w:tcPr>
            <w:tcW w:w="3985" w:type="dxa"/>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处室（单位）负责人（签字）：</w:t>
            </w:r>
            <w:r/>
          </w:p>
          <w:p>
            <w:pPr>
              <w:ind w:left="0" w:right="0" w:firstLine="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经办人（签字）：</w:t>
            </w:r>
            <w:r/>
          </w:p>
          <w:p>
            <w:pPr>
              <w:ind w:left="0" w:right="0" w:firstLine="0"/>
              <w:jc w:val="both"/>
              <w:keepLines w:val="0"/>
              <w:keepNext w:val="0"/>
              <w:pageBreakBefore w:val="0"/>
              <w:spacing w:line="240" w:lineRule="auto"/>
              <w:widowControl w:val="off"/>
              <w:rPr>
                <w:rFonts w:hint="eastAsia" w:ascii="宋体" w:hAnsi="宋体" w:eastAsia="宋体" w:cs="宋体"/>
                <w:b w:val="0"/>
                <w:bCs/>
                <w:color w:val="000000" w:themeColor="text1"/>
                <w:spacing w:val="-20"/>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经办人联系电话：</w:t>
            </w:r>
            <w:r/>
          </w:p>
        </w:tc>
        <w:tc>
          <w:tcPr>
            <w:tcW w:w="4546" w:type="dxa"/>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经办人（签字）：</w:t>
            </w:r>
            <w:r/>
          </w:p>
          <w:p>
            <w:pPr>
              <w:ind w:left="0" w:right="0" w:firstLine="0"/>
              <w:jc w:val="both"/>
              <w:keepLines w:val="0"/>
              <w:keepNext w:val="0"/>
              <w:pageBreakBefore w:val="0"/>
              <w:spacing w:line="240" w:lineRule="auto"/>
              <w:widowControl w:val="off"/>
              <w:rPr>
                <w:rFonts w:hint="eastAsia" w:ascii="宋体" w:hAnsi="宋体" w:eastAsia="宋体" w:cs="宋体"/>
                <w:b w:val="0"/>
                <w:bCs/>
                <w:color w:val="000000" w:themeColor="text1"/>
                <w:spacing w:val="-20"/>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联系电话：</w:t>
            </w:r>
            <w:r/>
          </w:p>
        </w:tc>
      </w:tr>
      <w:tr>
        <w:trPr>
          <w:jc w:val="center"/>
          <w:trHeight w:val="535"/>
        </w:trPr>
        <w:tc>
          <w:tcPr>
            <w:tcW w:w="3985" w:type="dxa"/>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地址：</w:t>
            </w:r>
            <w:r/>
          </w:p>
        </w:tc>
        <w:tc>
          <w:tcPr>
            <w:tcW w:w="4546" w:type="dxa"/>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地址：</w:t>
            </w:r>
            <w:r/>
          </w:p>
        </w:tc>
      </w:tr>
      <w:tr>
        <w:trPr>
          <w:jc w:val="center"/>
          <w:trHeight w:val="487"/>
        </w:trPr>
        <w:tc>
          <w:tcPr>
            <w:tcW w:w="3985" w:type="dxa"/>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邮编：</w:t>
            </w:r>
            <w:r/>
          </w:p>
        </w:tc>
        <w:tc>
          <w:tcPr>
            <w:tcW w:w="4546" w:type="dxa"/>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邮编：</w:t>
            </w:r>
            <w:r/>
          </w:p>
        </w:tc>
      </w:tr>
      <w:tr>
        <w:trPr>
          <w:jc w:val="center"/>
          <w:trHeight w:val="1955"/>
        </w:trPr>
        <w:tc>
          <w:tcPr>
            <w:tcW w:w="3985" w:type="dxa"/>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开票信息：</w:t>
            </w:r>
            <w:r/>
          </w:p>
          <w:p>
            <w:pPr>
              <w:ind w:left="0" w:right="0" w:firstLine="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统一社会信用代码证编号：</w:t>
            </w:r>
            <w:r/>
          </w:p>
          <w:p>
            <w:pPr>
              <w:ind w:left="0" w:right="0" w:firstLine="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地址：</w:t>
            </w:r>
            <w:r/>
          </w:p>
          <w:p>
            <w:pPr>
              <w:ind w:left="0" w:right="0" w:firstLine="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电话：</w:t>
            </w:r>
            <w:r/>
          </w:p>
          <w:p>
            <w:pPr>
              <w:ind w:left="0" w:right="0" w:firstLine="0"/>
              <w:jc w:val="both"/>
              <w:keepLines w:val="0"/>
              <w:keepNext w:val="0"/>
              <w:pageBreakBefore w:val="0"/>
              <w:spacing w:line="240" w:lineRule="auto"/>
              <w:widowControl w:val="off"/>
              <w:rPr>
                <w:rFonts w:hint="eastAsia" w:ascii="宋体" w:hAnsi="宋体" w:eastAsia="宋体" w:cs="宋体"/>
                <w:b w:val="0"/>
                <w:bCs/>
                <w:color w:val="000000" w:themeColor="text1"/>
                <w:spacing w:val="-20"/>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发票类型：普票</w:t>
            </w:r>
            <w:r/>
          </w:p>
        </w:tc>
        <w:tc>
          <w:tcPr>
            <w:tcW w:w="4546" w:type="dxa"/>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收款信息：</w:t>
            </w:r>
            <w:r/>
          </w:p>
          <w:p>
            <w:pPr>
              <w:ind w:left="0" w:right="0" w:firstLine="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收款人名称：</w:t>
            </w:r>
            <w:r/>
          </w:p>
          <w:p>
            <w:pPr>
              <w:ind w:left="0" w:right="0" w:firstLine="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统一社会信用代码证编号：</w:t>
            </w:r>
            <w:r/>
          </w:p>
          <w:p>
            <w:pPr>
              <w:ind w:left="0" w:right="0" w:firstLine="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收款银行：</w:t>
            </w:r>
            <w:r/>
          </w:p>
          <w:p>
            <w:pPr>
              <w:ind w:left="0" w:right="0" w:firstLine="0"/>
              <w:jc w:val="both"/>
              <w:keepLines w:val="0"/>
              <w:keepNext w:val="0"/>
              <w:pageBreakBefore w:val="0"/>
              <w:spacing w:line="240" w:lineRule="auto"/>
              <w:widowControl w:val="off"/>
              <w:rPr>
                <w:rFonts w:hint="eastAsia" w:ascii="宋体" w:hAnsi="宋体" w:eastAsia="宋体" w:cs="宋体"/>
                <w:b w:val="0"/>
                <w:bCs/>
                <w:color w:val="000000" w:themeColor="text1"/>
                <w:spacing w:val="-20"/>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账  号：</w:t>
            </w:r>
            <w:r/>
          </w:p>
        </w:tc>
      </w:tr>
      <w:tr>
        <w:trPr>
          <w:jc w:val="center"/>
          <w:trHeight w:val="495"/>
        </w:trPr>
        <w:tc>
          <w:tcPr>
            <w:tcW w:w="3985" w:type="dxa"/>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日 期：    年    月    日</w:t>
            </w:r>
            <w:r/>
          </w:p>
        </w:tc>
        <w:tc>
          <w:tcPr>
            <w:tcW w:w="4546" w:type="dxa"/>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日 期：    年   月     日</w:t>
            </w:r>
            <w:r/>
          </w:p>
        </w:tc>
      </w:tr>
    </w:tbl>
    <w:p>
      <w:pPr>
        <w:pStyle w:val="1096"/>
        <w:numPr>
          <w:ilvl w:val="1"/>
          <w:numId w:val="0"/>
        </w:numPr>
        <w:ind w:left="0" w:right="0"/>
        <w:pageBreakBefore w:val="0"/>
        <w:spacing w:before="0" w:after="0"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rPr>
          <w:rFonts w:hint="eastAsia" w:ascii="宋体" w:hAnsi="宋体" w:eastAsia="宋体" w:cs="宋体"/>
          <w:b/>
          <w:bCs/>
          <w:color w:val="000000" w:themeColor="text1"/>
          <w:sz w:val="24"/>
          <w:szCs w:val="24"/>
          <w:highlight w:val="none"/>
          <w14:textFill>
            <w14:solidFill>
              <w14:schemeClr w14:val="tx1"/>
            </w14:solidFill>
          </w14:textFill>
        </w:rPr>
        <w:t xml:space="preserve">附件一：保密协议</w:t>
      </w:r>
      <w:r/>
    </w:p>
    <w:p>
      <w:pPr>
        <w:ind w:left="0" w:right="0" w:firstLine="482"/>
        <w:jc w:val="center"/>
        <w:pageBreakBefore w:val="0"/>
        <w:spacing w:line="44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保密协议</w:t>
      </w:r>
      <w:r/>
    </w:p>
    <w:p>
      <w:pPr>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_________________________</w:t>
      </w:r>
      <w:r/>
    </w:p>
    <w:p>
      <w:pPr>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乙方：_________________________</w:t>
      </w:r>
      <w:r/>
    </w:p>
    <w:p>
      <w:pPr>
        <w:ind w:left="0" w:right="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一、总则</w:t>
      </w:r>
      <w:r/>
    </w:p>
    <w:p>
      <w:pPr>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（一）为确保甲乙双方在网络信息安全服务合作事宜有序开展，杜绝信息泄露事件的发生。经甲乙双方友好协商,签订本协议。</w:t>
      </w:r>
      <w:r/>
    </w:p>
    <w:p>
      <w:pPr>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（二）本协议适用于的项目名称为：_________________________，项目编号：_______________。</w:t>
      </w:r>
      <w:r/>
    </w:p>
    <w:p>
      <w:pPr>
        <w:ind w:left="0" w:right="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二、信息保密要求</w:t>
      </w:r>
      <w:r/>
    </w:p>
    <w:p>
      <w:pPr>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乙方须遵守以下条款，对项目涉及的信息进行保密：</w:t>
      </w:r>
      <w:r/>
    </w:p>
    <w:p>
      <w:pPr>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（一）乙方在为甲方提供服务过程中，应对来源于服务对象的所有信息进行涉密情况的征询，对于甲方的保密信息要做好保密管理。</w:t>
      </w:r>
      <w:r/>
    </w:p>
    <w:p>
      <w:pPr>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（二）对来源于甲方所有信息（包括但不限于相关技术资料、报告、摘要、纪要、文件、计划、报表、复印件、信息系统应用数据等），乙方负有保密责任，应采取有效保密措施确保信息安全。</w:t>
      </w:r>
      <w:r/>
    </w:p>
    <w:p>
      <w:pPr>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（三）乙方人员须在甲方工作人员允许和在场的情况下对甲方内部信息数据进行操作，乙方不得擅自复制、传播甲方的各类信息，不得外泄信息。</w:t>
      </w:r>
      <w:r/>
    </w:p>
    <w:p>
      <w:pPr>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（四）乙方在完成相关服务后，将使用的安全技术设备带离现场时，须在甲方监督下及时使用不可恢复的删除方式彻底删除设备内的甲方内部信息。未经甲方许可，不得带走甲方有关文件、资料和数据。</w:t>
      </w:r>
      <w:r/>
    </w:p>
    <w:p>
      <w:pPr>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（五）乙方在提供服务过程中，参与项目的乙方人员应遵守甲方有关规章制度。</w:t>
      </w:r>
      <w:r/>
    </w:p>
    <w:p>
      <w:pPr>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（六）相关服务完成后，乙方应将相关交付物完整交付甲方，不得保留相关交付物的副本，相关纸质及电子资料必须销毁，防止信息外流。</w:t>
      </w:r>
      <w:r/>
    </w:p>
    <w:p>
      <w:pPr>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（七）乙方在工作期间，严格遵守甲方保密制度及有关规定，不得泄露服务对象相关系统及数据库的账号和密码。</w:t>
      </w:r>
      <w:r/>
    </w:p>
    <w:p>
      <w:pPr>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（八）本协议效力不受劳动合同订立及解除的影响，乙方工作人员调离乙方公司时，乙方公司应负责采取相关措施防止信息泄露；否则发生的项目信息泄露责任，由乙方负责。</w:t>
      </w:r>
      <w:r/>
    </w:p>
    <w:p>
      <w:pPr>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（九）乙方与乙方工作人员签订针对于本项目的保密协议，确保乙方工作人员严格执行本协议中保密条款。</w:t>
      </w:r>
      <w:r/>
    </w:p>
    <w:p>
      <w:pPr>
        <w:ind w:left="0" w:right="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三、甲方须遵守以下条款，对项目涉及的乙方内部信息进行保密：</w:t>
      </w:r>
      <w:r/>
    </w:p>
    <w:p>
      <w:pPr>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（一）甲方提供涉密技术资料、数据时应向乙方明示。</w:t>
      </w:r>
      <w:r/>
    </w:p>
    <w:p>
      <w:pPr>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（二）甲方不得向任何第三方披露乙方的工作程序，技术工具、设备、方法等。</w:t>
      </w:r>
      <w:r/>
    </w:p>
    <w:p>
      <w:pPr>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（三）甲方不得向任何第三方披露乙方的技术资料或文档，包括但不限于项目过程文档、实施方案等。</w:t>
      </w:r>
      <w:r/>
    </w:p>
    <w:p>
      <w:pPr>
        <w:ind w:left="0" w:right="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四、保密期限</w:t>
      </w:r>
      <w:r/>
    </w:p>
    <w:p>
      <w:pPr>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本协议经双方盖章后生效，有效期为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年。如果所涉及的保密信息依照国家有关法律、法规其保密期限超过上述规定的年限，则双方的保密责任在这些法律法规规定的年限内继续有效。</w:t>
      </w:r>
      <w:r/>
    </w:p>
    <w:p>
      <w:pPr>
        <w:ind w:left="0" w:right="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五、违约责任：</w:t>
      </w:r>
      <w:r/>
    </w:p>
    <w:p>
      <w:pPr>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乙方不得以任何理由、任何形式泄露甲方的相关机密。如果违反，乙方必须承担甲方因此而造成的全部损失（含直接及间接经济损失）；情节严重者，并提请有关部门追究其刑事责任。</w:t>
      </w:r>
      <w:r/>
    </w:p>
    <w:p>
      <w:pPr>
        <w:ind w:left="0" w:right="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【本文结束】</w:t>
      </w:r>
      <w:r/>
    </w:p>
    <w:p>
      <w:pPr>
        <w:ind w:left="0" w:right="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0" w:right="0"/>
        <w:pageBreakBefore w:val="0"/>
        <w:spacing w:line="44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附件二：网络信息安全承诺书</w:t>
      </w:r>
      <w:r/>
    </w:p>
    <w:p>
      <w:pPr>
        <w:ind w:left="0" w:right="0" w:firstLine="482"/>
        <w:pageBreakBefore w:val="0"/>
        <w:spacing w:line="44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甲方保证遵守以下各项规定：</w:t>
      </w:r>
      <w:r/>
    </w:p>
    <w:p>
      <w:pPr>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第一条、遵守国家有关法律、行政法规和管理规章，严格执行信息安全管理规定。</w:t>
      </w:r>
      <w:r/>
    </w:p>
    <w:p>
      <w:pPr>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二条、不得利用云服务产品从事危害国家安全、泄露国家机密等违法犯罪活动，不得利用云服务产品制作、查阅、复制和传播违反宪法和法律、妨碍社会治安、破坏国家统一、破坏民族团结、色情、暴力等的信息，不得利用云服务产品 制作、查阅、复制和传播任何含有下列内容之一的信息：煽动抗拒、破坏宪法和法律、行政法规实施的；</w:t>
      </w:r>
      <w:r/>
    </w:p>
    <w:p>
      <w:pPr>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1、煽动颠覆国家政权，推翻社会主义制度的；</w:t>
      </w:r>
      <w:r/>
    </w:p>
    <w:p>
      <w:pPr>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2、危害国家安全，泄露国家机密的；</w:t>
      </w:r>
      <w:r/>
    </w:p>
    <w:p>
      <w:pPr>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3、煽动分裂国家、破坏国家统一的；</w:t>
      </w:r>
      <w:r/>
    </w:p>
    <w:p>
      <w:pPr>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4、煽动民族仇恨、民族歧视，破坏民族团结的；</w:t>
      </w:r>
      <w:r/>
    </w:p>
    <w:p>
      <w:pPr>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5、捏造或者歪曲事实，散布谣言，扰乱社会秩序，破坏社会稳定的；</w:t>
      </w:r>
      <w:r/>
    </w:p>
    <w:p>
      <w:pPr>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6、破坏国家宗教政策，宣扬邪教和封建迷信、淫秽、色情、赌博、暴力、凶杀、恐怖，教唆犯罪的；</w:t>
      </w:r>
      <w:r/>
    </w:p>
    <w:p>
      <w:pPr>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7、公然侮辱他人或者捏造事实诽谤他人,侵害他人合法权益的；</w:t>
      </w:r>
      <w:r/>
    </w:p>
    <w:p>
      <w:pPr>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8、损害国家和/或者国家机关信誉和/或者利益的；</w:t>
      </w:r>
      <w:r/>
    </w:p>
    <w:p>
      <w:pPr>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9、其他违反宪法和法律、行政法规的。</w:t>
      </w:r>
      <w:r/>
    </w:p>
    <w:p>
      <w:pPr>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第三条、不得利用云服务产品从事下列危害计算机信息网络安全的活动：</w:t>
      </w:r>
      <w:r/>
    </w:p>
    <w:p>
      <w:pPr>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1、未经允许，进入计算机信息网络或者使用计算机信息网络资源的；</w:t>
      </w:r>
      <w:r/>
    </w:p>
    <w:p>
      <w:pPr>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2、未经允许，对计算机信息网络功能进行删除、修改或者增加的；</w:t>
      </w:r>
      <w:r/>
    </w:p>
    <w:p>
      <w:pPr>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3、故意制作、传播计算机病毒等破坏性程序的；</w:t>
      </w:r>
      <w:r/>
    </w:p>
    <w:p>
      <w:pPr>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4、其他危害计算机信息网络安全的。</w:t>
      </w:r>
      <w:r/>
    </w:p>
    <w:p>
      <w:pPr>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第四条、提供的信息必须遵守国家有关知识产权的法律、行政法规、规章、政策等规定。</w:t>
      </w:r>
      <w:r/>
    </w:p>
    <w:p>
      <w:pPr>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第五条、不得将云服务产品用作代理服务器（Proxy），不得利用云服务产品进行再次转租行为。发现再转租行为的，将暂停云服务产品的使用，并回收相关网络资源。</w:t>
      </w:r>
      <w:r/>
    </w:p>
    <w:p>
      <w:pPr>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第六条、安装软件及或其他作品、数据在云服务产品时，应自行依法具有或取得所需之软件、作品、数据的著作权及或使用权许可。</w:t>
      </w:r>
      <w:r/>
    </w:p>
    <w:p>
      <w:pPr>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七条、应妥善保管其购买的云服务产品上的数据，并应对进入和管理云服务产品的口令、密码的完整性和保密性负责。自行承担如维护不当或保密不当致使上述数据、口令、密码等丢失或泄漏所引起的损失和后果。</w:t>
      </w:r>
      <w:r/>
    </w:p>
    <w:p>
      <w:pPr>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第八条、甲方在云服务产品上收集、存储、传输、处理个人数据时，应做好妥善的保护并在法律法规许可的范围内使用。</w:t>
      </w:r>
      <w:r/>
    </w:p>
    <w:p>
      <w:pPr>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0" w:right="0" w:firstLine="482"/>
        <w:pageBreakBefore w:val="0"/>
        <w:spacing w:line="44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甲乙双方保证遵守以下各项规定：</w:t>
      </w:r>
      <w:r/>
    </w:p>
    <w:p>
      <w:pPr>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九条、严格遵守《中华人民共和国网络安全法》、《中华人民共和国数据安全法》、《中华人民共和国个人信息保护法》、《全国人民代表大会常务委员会关于加强网络信息保护的决定》、国务院令第292号《互联网信息服务管理办法》的相关规定，采取技术措施和其他必要措施确保信息安全，在发生或者可能发生信息泄露、毁损、丢失等情况时，立即采取补救措施进行补救。</w:t>
      </w:r>
      <w:r/>
    </w:p>
    <w:p>
      <w:pPr>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第十条、甲乙双方在合作过程中，发现存在法律法规明令禁止的情形时，应当立即配合有关部门，停止传输、保存有关记录，并向有关机关或部门报告。</w:t>
      </w:r>
      <w:r/>
    </w:p>
    <w:p>
      <w:pPr>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十一条、甲方提供给乙方的的数据、设备等资源，以及云计算平台上甲方业务系统运行过程中收集、产生、存储的数据和文档等资源属甲方所有。乙方应保障甲方对这些资源的访问、利用、支配，未经甲方授权，不得访问、修改、披露、利用、转让、销毁其数据；在服务合同终止时，应按要求做好数据、文档等资源的移交和清除工作。</w:t>
      </w:r>
      <w:r/>
    </w:p>
    <w:p>
      <w:pPr>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十二条、承载甲方数据和业务的云计算平台要参照甲方信息系统进行网络安全管理，乙方应遵守党政信息系统的网络安全政策规定、信息安全等级保护要求、技术标准，落实安全管理和防护措施，接受网络安全主管部门的网络安全监管。</w:t>
      </w:r>
      <w:r/>
    </w:p>
    <w:p>
      <w:pPr>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第十三条、甲乙双方合作的云计算服务平台、数据中心等要设在境内。敏感信 息未经批准不得在境外传输、处理、存储。</w:t>
      </w:r>
      <w:r/>
    </w:p>
    <w:p>
      <w:pPr>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第十四条、乙方将采取合理且适当的安全措施，旨在帮助甲方保护甲方的内容免受意外或非法的损失、访问或披露。未经甲方的授权，乙方不会查看、使用、向第三方分发甲方的内容，除非：</w:t>
      </w:r>
      <w:r/>
    </w:p>
    <w:p>
      <w:pPr>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1.为遵守法律或政府机构发布的具有约束力的命令所需。</w:t>
      </w:r>
      <w:r/>
    </w:p>
    <w:p>
      <w:pPr>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2.为维护合法权益而提起的诉讼或仲裁所需。</w:t>
      </w:r>
      <w:r/>
    </w:p>
    <w:p>
      <w:pPr>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第十五条、甲方应正确地配置和使用乙方提供的服务，并自行采取一定的安全性措施，对甲方的内容进行保护和备份，包括但不限于使用加密技术、防止甲方的内容被擅自访问，并对甲方的内容进行日常存档。</w:t>
      </w:r>
      <w:r/>
    </w:p>
    <w:p>
      <w:pPr>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第十六条、对于由甲方的内容引起的安全漏洞，包括但不限于病毒、特洛伊木马、蠕虫或甲方的内容中包含的其他有害编程惯例，或对于甲方未按本协议约定使用乙方服务而引起的安全漏洞，甲方应承担责任。</w:t>
      </w:r>
      <w:r/>
    </w:p>
    <w:p>
      <w:pPr>
        <w:ind w:left="0" w:right="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【本文结束】</w:t>
      </w:r>
      <w:r/>
    </w:p>
    <w:p>
      <w:pPr>
        <w:ind w:left="0" w:right="0" w:firstLine="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0" w:right="0" w:firstLine="0"/>
        <w:pageBreakBefore w:val="0"/>
        <w:spacing w:line="44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附件三：服务考核指标体系</w:t>
      </w:r>
      <w:r/>
    </w:p>
    <w:p>
      <w:pPr>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甲方有权根据服务考核细则扣除相关款项。</w:t>
      </w:r>
      <w:r/>
    </w:p>
    <w:p>
      <w:pPr>
        <w:ind w:left="0" w:right="0" w:firstLine="480"/>
        <w:jc w:val="center"/>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《服务考核指标体系》</w:t>
      </w:r>
      <w:r/>
    </w:p>
    <w:tbl>
      <w:tblPr>
        <w:tblStyle w:val="1105"/>
        <w:tblW w:w="860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4"/>
        <w:gridCol w:w="1248"/>
        <w:gridCol w:w="1548"/>
        <w:gridCol w:w="4152"/>
        <w:gridCol w:w="757"/>
      </w:tblGrid>
      <w:tr>
        <w:trPr>
          <w:jc w:val="center"/>
          <w:trHeight w:val="397"/>
        </w:trPr>
        <w:tc>
          <w:tcPr>
            <w:shd w:val="clear" w:color="auto" w:fill="f2f2f2"/>
            <w:tcW w:w="90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类型</w:t>
            </w:r>
            <w:r/>
          </w:p>
        </w:tc>
        <w:tc>
          <w:tcPr>
            <w:shd w:val="clear" w:color="auto" w:fill="f2f2f2"/>
            <w:tcW w:w="124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评估项目</w:t>
            </w:r>
            <w:r/>
          </w:p>
        </w:tc>
        <w:tc>
          <w:tcPr>
            <w:shd w:val="clear" w:color="auto" w:fill="f2f2f2"/>
            <w:tcW w:w="154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评估内容</w:t>
            </w:r>
            <w:r/>
          </w:p>
        </w:tc>
        <w:tc>
          <w:tcPr>
            <w:shd w:val="clear" w:color="auto" w:fill="f2f2f2"/>
            <w:tcW w:w="4152"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评估标准</w:t>
            </w:r>
            <w:r/>
          </w:p>
        </w:tc>
        <w:tc>
          <w:tcPr>
            <w:shd w:val="clear" w:color="auto" w:fill="f2f2f2"/>
            <w:tcW w:w="7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权重</w:t>
            </w:r>
            <w:r/>
          </w:p>
        </w:tc>
      </w:tr>
      <w:tr>
        <w:trPr>
          <w:jc w:val="center"/>
          <w:trHeight w:val="397"/>
        </w:trPr>
        <w:tc>
          <w:tcPr>
            <w:shd w:val="clear" w:color="auto" w:fill="auto"/>
            <w:tcW w:w="90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服务安全性</w:t>
            </w:r>
            <w:r/>
          </w:p>
        </w:tc>
        <w:tc>
          <w:tcPr>
            <w:shd w:val="clear" w:color="auto" w:fill="auto"/>
            <w:tcW w:w="124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安全等保测评及密评</w:t>
            </w:r>
            <w:r/>
          </w:p>
        </w:tc>
        <w:tc>
          <w:tcPr>
            <w:shd w:val="clear" w:color="auto" w:fill="auto"/>
            <w:tcW w:w="154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云平台年度安全等保测评及密评通过情况</w:t>
            </w:r>
            <w:r/>
          </w:p>
        </w:tc>
        <w:tc>
          <w:tcPr>
            <w:shd w:val="clear" w:color="auto" w:fill="auto"/>
            <w:tcW w:w="4152"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云供应商须每年按时通过云平台的三级安全等保测评及密评，未按时通过扣10分。</w:t>
            </w:r>
            <w:r/>
          </w:p>
        </w:tc>
        <w:tc>
          <w:tcPr>
            <w:shd w:val="clear" w:color="auto" w:fill="auto"/>
            <w:tcW w:w="7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10</w:t>
            </w:r>
            <w:r/>
          </w:p>
        </w:tc>
      </w:tr>
      <w:tr>
        <w:trPr>
          <w:jc w:val="center"/>
          <w:trHeight w:val="397"/>
        </w:trPr>
        <w:tc>
          <w:tcPr>
            <w:shd w:val="clear" w:color="auto" w:fill="auto"/>
            <w:tcW w:w="90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124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安全事件</w:t>
            </w:r>
            <w:r/>
          </w:p>
        </w:tc>
        <w:tc>
          <w:tcPr>
            <w:shd w:val="clear" w:color="auto" w:fill="auto"/>
            <w:tcW w:w="154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因云供应商自身原因而发生的安全事件</w:t>
            </w:r>
            <w:r/>
          </w:p>
        </w:tc>
        <w:tc>
          <w:tcPr>
            <w:shd w:val="clear" w:color="auto" w:fill="auto"/>
            <w:tcW w:w="4152"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因云供应商自身原因发生重大安全事故（如核心数据丢失、数据泄露等），每次扣5分。</w:t>
            </w:r>
            <w:r/>
          </w:p>
        </w:tc>
        <w:tc>
          <w:tcPr>
            <w:shd w:val="clear" w:color="auto" w:fill="auto"/>
            <w:tcW w:w="7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10</w:t>
            </w:r>
            <w:r/>
          </w:p>
        </w:tc>
      </w:tr>
      <w:tr>
        <w:trPr>
          <w:jc w:val="center"/>
          <w:trHeight w:val="397"/>
        </w:trPr>
        <w:tc>
          <w:tcPr>
            <w:shd w:val="clear" w:color="auto" w:fill="auto"/>
            <w:tcW w:w="90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交付</w:t>
            </w:r>
            <w:r/>
          </w:p>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质量</w:t>
            </w:r>
            <w:r/>
          </w:p>
        </w:tc>
        <w:tc>
          <w:tcPr>
            <w:shd w:val="clear" w:color="auto" w:fill="auto"/>
            <w:tcW w:w="1248"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交付及时性</w:t>
            </w:r>
            <w:r/>
          </w:p>
        </w:tc>
        <w:tc>
          <w:tcPr>
            <w:shd w:val="clear" w:color="auto" w:fill="auto"/>
            <w:tcW w:w="1548"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交付资源是否及时</w:t>
            </w:r>
            <w:r/>
          </w:p>
        </w:tc>
        <w:tc>
          <w:tcPr>
            <w:shd w:val="clear" w:color="auto" w:fill="auto"/>
            <w:tcW w:w="4152"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按照计划业务上线，因供应商原因延迟一次扣1分。</w:t>
            </w:r>
            <w:r/>
          </w:p>
        </w:tc>
        <w:tc>
          <w:tcPr>
            <w:shd w:val="clear" w:color="auto" w:fill="auto"/>
            <w:tcW w:w="757"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8</w:t>
            </w:r>
            <w:r/>
          </w:p>
        </w:tc>
      </w:tr>
      <w:tr>
        <w:trPr>
          <w:jc w:val="center"/>
          <w:trHeight w:val="397"/>
        </w:trPr>
        <w:tc>
          <w:tcPr>
            <w:shd w:val="clear" w:color="auto" w:fill="auto"/>
            <w:tcW w:w="90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1248"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1548"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4152"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资源变更、扩容等情况下，因供应商交付延迟原因造成业务中断，一次扣1分</w:t>
            </w:r>
            <w:r/>
          </w:p>
        </w:tc>
        <w:tc>
          <w:tcPr>
            <w:shd w:val="clear" w:color="auto" w:fill="auto"/>
            <w:tcW w:w="757"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397"/>
        </w:trPr>
        <w:tc>
          <w:tcPr>
            <w:shd w:val="clear" w:color="auto" w:fill="auto"/>
            <w:tcW w:w="90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1248"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交付准确性</w:t>
            </w:r>
            <w:r/>
          </w:p>
        </w:tc>
        <w:tc>
          <w:tcPr>
            <w:shd w:val="clear" w:color="auto" w:fill="auto"/>
            <w:tcW w:w="1548"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交付资源是否准确</w:t>
            </w:r>
            <w:r/>
          </w:p>
        </w:tc>
        <w:tc>
          <w:tcPr>
            <w:shd w:val="clear" w:color="auto" w:fill="auto"/>
            <w:tcW w:w="4152"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交付方案可行，上线前测试充分，未达此标准，一次扣1分。</w:t>
            </w:r>
            <w:r/>
          </w:p>
        </w:tc>
        <w:tc>
          <w:tcPr>
            <w:shd w:val="clear" w:color="auto" w:fill="auto"/>
            <w:tcW w:w="757"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8</w:t>
            </w:r>
            <w:r/>
          </w:p>
        </w:tc>
      </w:tr>
      <w:tr>
        <w:trPr>
          <w:jc w:val="center"/>
          <w:trHeight w:val="397"/>
        </w:trPr>
        <w:tc>
          <w:tcPr>
            <w:shd w:val="clear" w:color="auto" w:fill="auto"/>
            <w:tcW w:w="90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1248"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1548"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4152"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交付资源完整，满足业务要求，未达此标准，一次扣1分。</w:t>
            </w:r>
            <w:r/>
          </w:p>
        </w:tc>
        <w:tc>
          <w:tcPr>
            <w:shd w:val="clear" w:color="auto" w:fill="auto"/>
            <w:tcW w:w="757"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397"/>
        </w:trPr>
        <w:tc>
          <w:tcPr>
            <w:shd w:val="clear" w:color="auto" w:fill="auto"/>
            <w:tcW w:w="90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服务响应性</w:t>
            </w:r>
            <w:r/>
          </w:p>
        </w:tc>
        <w:tc>
          <w:tcPr>
            <w:shd w:val="clear" w:color="auto" w:fill="auto"/>
            <w:tcW w:w="124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技术咨询响应</w:t>
            </w:r>
            <w:r/>
          </w:p>
        </w:tc>
        <w:tc>
          <w:tcPr>
            <w:shd w:val="clear" w:color="auto" w:fill="auto"/>
            <w:tcW w:w="154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云供应商为使用单位提供技术和解决方案咨询类服务响应情况</w:t>
            </w:r>
            <w:r/>
          </w:p>
        </w:tc>
        <w:tc>
          <w:tcPr>
            <w:shd w:val="clear" w:color="auto" w:fill="auto"/>
            <w:tcW w:w="4152"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使用单位有新业务需求，在技术和解决方案方面咨询云供应商，响应不及时，每次扣0.5分。</w:t>
            </w:r>
            <w:r/>
          </w:p>
        </w:tc>
        <w:tc>
          <w:tcPr>
            <w:shd w:val="clear" w:color="auto" w:fill="auto"/>
            <w:tcW w:w="7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r>
      <w:tr>
        <w:trPr>
          <w:jc w:val="center"/>
          <w:trHeight w:val="397"/>
        </w:trPr>
        <w:tc>
          <w:tcPr>
            <w:shd w:val="clear" w:color="auto" w:fill="auto"/>
            <w:tcW w:w="90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124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工单响应</w:t>
            </w:r>
            <w:r/>
          </w:p>
        </w:tc>
        <w:tc>
          <w:tcPr>
            <w:shd w:val="clear" w:color="auto" w:fill="auto"/>
            <w:tcW w:w="154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云供应商为使用单位提供的工单服务响应情况</w:t>
            </w:r>
            <w:r/>
          </w:p>
        </w:tc>
        <w:tc>
          <w:tcPr>
            <w:shd w:val="clear" w:color="auto" w:fill="auto"/>
            <w:tcW w:w="4152"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使用单位现有云服务，在云服务新增、变更、注销及网络相关操作方面需云供应商协助，响应不及时，每次扣0.2分。</w:t>
            </w:r>
            <w:r/>
          </w:p>
        </w:tc>
        <w:tc>
          <w:tcPr>
            <w:shd w:val="clear" w:color="auto" w:fill="auto"/>
            <w:tcW w:w="7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r>
      <w:tr>
        <w:trPr>
          <w:jc w:val="center"/>
          <w:trHeight w:val="397"/>
        </w:trPr>
        <w:tc>
          <w:tcPr>
            <w:shd w:val="clear" w:color="auto" w:fill="auto"/>
            <w:tcW w:w="90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1248"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故障受理响应</w:t>
            </w:r>
            <w:r/>
          </w:p>
        </w:tc>
        <w:tc>
          <w:tcPr>
            <w:shd w:val="clear" w:color="auto" w:fill="auto"/>
            <w:tcW w:w="1548"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因云供应商自身原因导致云服务故障的处理情况</w:t>
            </w:r>
            <w:r/>
          </w:p>
        </w:tc>
        <w:tc>
          <w:tcPr>
            <w:shd w:val="clear" w:color="auto" w:fill="auto"/>
            <w:tcW w:w="4152"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导致个别用户的某些业务功能不能使用的一般故障，10分钟内响应，在用户配合情况下，24小时内解决，响应不及时或处理不及时每次扣0.5分。</w:t>
            </w:r>
            <w:r/>
          </w:p>
        </w:tc>
        <w:tc>
          <w:tcPr>
            <w:shd w:val="clear" w:color="auto" w:fill="auto"/>
            <w:tcW w:w="757"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r>
      <w:tr>
        <w:trPr>
          <w:jc w:val="center"/>
          <w:trHeight w:val="397"/>
        </w:trPr>
        <w:tc>
          <w:tcPr>
            <w:shd w:val="clear" w:color="auto" w:fill="auto"/>
            <w:tcW w:w="90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1248"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1548"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4152"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同一时间且同一故障导致超过50%用户核心业务受影响的重大故障，5分钟内响应，4小时内解决，事后提供故障报告，发生一次扣2分。</w:t>
            </w:r>
            <w:r/>
          </w:p>
        </w:tc>
        <w:tc>
          <w:tcPr>
            <w:shd w:val="clear" w:color="auto" w:fill="auto"/>
            <w:tcW w:w="757"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397"/>
        </w:trPr>
        <w:tc>
          <w:tcPr>
            <w:shd w:val="clear" w:color="auto" w:fill="auto"/>
            <w:tcW w:w="90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1248"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1548"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4152"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同一时间且同一故障导致用户全部业务受影响的严重故障，5分钟内响应，2小时内解决，事后提供故障报告，发生一次扣3分。</w:t>
            </w:r>
            <w:r/>
          </w:p>
        </w:tc>
        <w:tc>
          <w:tcPr>
            <w:shd w:val="clear" w:color="auto" w:fill="auto"/>
            <w:tcW w:w="757"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397"/>
        </w:trPr>
        <w:tc>
          <w:tcPr>
            <w:shd w:val="clear" w:color="auto" w:fill="auto"/>
            <w:tcW w:w="90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运维</w:t>
            </w:r>
            <w:r/>
          </w:p>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管理</w:t>
            </w:r>
            <w:r/>
          </w:p>
        </w:tc>
        <w:tc>
          <w:tcPr>
            <w:shd w:val="clear" w:color="auto" w:fill="auto"/>
            <w:tcW w:w="124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管理制度</w:t>
            </w:r>
            <w:r/>
          </w:p>
        </w:tc>
        <w:tc>
          <w:tcPr>
            <w:shd w:val="clear" w:color="auto" w:fill="auto"/>
            <w:tcW w:w="154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运维管理制度建设</w:t>
            </w:r>
            <w:r/>
          </w:p>
        </w:tc>
        <w:tc>
          <w:tcPr>
            <w:shd w:val="clear" w:color="auto" w:fill="auto"/>
            <w:tcW w:w="4152"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云供应商须制定规范化的运维管理制度，包括云平台监控、人员管理、资产管理、巡检管理、告警管理、运维工单管理等。一项制度不完善扣1分。</w:t>
            </w:r>
            <w:r/>
          </w:p>
        </w:tc>
        <w:tc>
          <w:tcPr>
            <w:shd w:val="clear" w:color="auto" w:fill="auto"/>
            <w:tcW w:w="7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8</w:t>
            </w:r>
            <w:r/>
          </w:p>
        </w:tc>
      </w:tr>
      <w:tr>
        <w:trPr>
          <w:jc w:val="center"/>
          <w:trHeight w:val="397"/>
        </w:trPr>
        <w:tc>
          <w:tcPr>
            <w:shd w:val="clear" w:color="auto" w:fill="auto"/>
            <w:tcW w:w="90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1248"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人员配置</w:t>
            </w:r>
            <w:r/>
          </w:p>
        </w:tc>
        <w:tc>
          <w:tcPr>
            <w:shd w:val="clear" w:color="auto" w:fill="auto"/>
            <w:tcW w:w="1548"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运维人员数量和运维人员能力</w:t>
            </w:r>
            <w:r/>
          </w:p>
        </w:tc>
        <w:tc>
          <w:tcPr>
            <w:shd w:val="clear" w:color="auto" w:fill="auto"/>
            <w:tcW w:w="4152"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配置不少于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人的专业运维团队，不满足扣1分</w:t>
            </w:r>
            <w:r/>
          </w:p>
        </w:tc>
        <w:tc>
          <w:tcPr>
            <w:shd w:val="clear" w:color="auto" w:fill="auto"/>
            <w:tcW w:w="757"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r>
      <w:tr>
        <w:trPr>
          <w:jc w:val="center"/>
          <w:trHeight w:val="397"/>
        </w:trPr>
        <w:tc>
          <w:tcPr>
            <w:shd w:val="clear" w:color="auto" w:fill="auto"/>
            <w:tcW w:w="90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1248"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1548"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4152"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所有人员须通过专业技能认证（中级及以上），有1人未通过扣1分；</w:t>
            </w:r>
            <w:r/>
          </w:p>
        </w:tc>
        <w:tc>
          <w:tcPr>
            <w:shd w:val="clear" w:color="auto" w:fill="auto"/>
            <w:tcW w:w="757"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397"/>
        </w:trPr>
        <w:tc>
          <w:tcPr>
            <w:shd w:val="clear" w:color="auto" w:fill="auto"/>
            <w:tcW w:w="90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124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运维报告</w:t>
            </w:r>
            <w:r/>
          </w:p>
        </w:tc>
        <w:tc>
          <w:tcPr>
            <w:shd w:val="clear" w:color="auto" w:fill="auto"/>
            <w:tcW w:w="154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运维报告执行情况</w:t>
            </w:r>
            <w:r/>
          </w:p>
        </w:tc>
        <w:tc>
          <w:tcPr>
            <w:shd w:val="clear" w:color="auto" w:fill="auto"/>
            <w:tcW w:w="4152"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云供应商每月提交1次运维报告。每缺少1次，扣1分。</w:t>
            </w:r>
            <w:r/>
          </w:p>
        </w:tc>
        <w:tc>
          <w:tcPr>
            <w:shd w:val="clear" w:color="auto" w:fill="auto"/>
            <w:tcW w:w="7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r>
      <w:tr>
        <w:trPr>
          <w:jc w:val="center"/>
          <w:trHeight w:val="397"/>
        </w:trPr>
        <w:tc>
          <w:tcPr>
            <w:shd w:val="clear" w:color="auto" w:fill="auto"/>
            <w:tcW w:w="90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应急</w:t>
            </w:r>
            <w:r/>
          </w:p>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管理</w:t>
            </w:r>
            <w:r/>
          </w:p>
        </w:tc>
        <w:tc>
          <w:tcPr>
            <w:shd w:val="clear" w:color="auto" w:fill="auto"/>
            <w:tcW w:w="124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应急预案</w:t>
            </w:r>
            <w:r/>
          </w:p>
        </w:tc>
        <w:tc>
          <w:tcPr>
            <w:shd w:val="clear" w:color="auto" w:fill="auto"/>
            <w:tcW w:w="154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应急预案完善性和有效性</w:t>
            </w:r>
            <w:r/>
          </w:p>
        </w:tc>
        <w:tc>
          <w:tcPr>
            <w:shd w:val="clear" w:color="auto" w:fill="auto"/>
            <w:tcW w:w="4152"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云供应商须制定完善和有效的应急预案，适时修订预案内容。不满足扣5分。</w:t>
            </w:r>
            <w:r/>
          </w:p>
        </w:tc>
        <w:tc>
          <w:tcPr>
            <w:shd w:val="clear" w:color="auto" w:fill="auto"/>
            <w:tcW w:w="7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r>
      <w:tr>
        <w:trPr>
          <w:jc w:val="center"/>
          <w:trHeight w:val="397"/>
        </w:trPr>
        <w:tc>
          <w:tcPr>
            <w:shd w:val="clear" w:color="auto" w:fill="auto"/>
            <w:tcW w:w="90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1248"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应急演练及重保</w:t>
            </w:r>
            <w:r/>
          </w:p>
        </w:tc>
        <w:tc>
          <w:tcPr>
            <w:shd w:val="clear" w:color="auto" w:fill="auto"/>
            <w:tcW w:w="1548"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应急演练及重保执行情况</w:t>
            </w:r>
            <w:r/>
          </w:p>
        </w:tc>
        <w:tc>
          <w:tcPr>
            <w:shd w:val="clear" w:color="auto" w:fill="auto"/>
            <w:tcW w:w="4152"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应急演练，每季度1次，总结演练报告；</w:t>
            </w:r>
            <w:r/>
          </w:p>
        </w:tc>
        <w:tc>
          <w:tcPr>
            <w:shd w:val="clear" w:color="auto" w:fill="auto"/>
            <w:tcW w:w="757"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r>
      <w:tr>
        <w:trPr>
          <w:jc w:val="center"/>
          <w:trHeight w:val="397"/>
        </w:trPr>
        <w:tc>
          <w:tcPr>
            <w:shd w:val="clear" w:color="auto" w:fill="auto"/>
            <w:tcW w:w="90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1248"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1548"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4152"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重大节假日安排专人保障，其中春节、两会和国庆节，需安排专人现场保障平台安全稳定运行；</w:t>
            </w:r>
            <w:r/>
          </w:p>
        </w:tc>
        <w:tc>
          <w:tcPr>
            <w:shd w:val="clear" w:color="auto" w:fill="auto"/>
            <w:tcW w:w="757"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397"/>
        </w:trPr>
        <w:tc>
          <w:tcPr>
            <w:shd w:val="clear" w:color="auto" w:fill="auto"/>
            <w:tcW w:w="90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1248"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1548"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4152"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每缺少1次，扣2分。</w:t>
            </w:r>
            <w:r/>
          </w:p>
        </w:tc>
        <w:tc>
          <w:tcPr>
            <w:shd w:val="clear" w:color="auto" w:fill="auto"/>
            <w:tcW w:w="757"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397"/>
        </w:trPr>
        <w:tc>
          <w:tcPr>
            <w:shd w:val="clear" w:color="auto" w:fill="auto"/>
            <w:tcW w:w="90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124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应急事件处理</w:t>
            </w:r>
            <w:r/>
          </w:p>
        </w:tc>
        <w:tc>
          <w:tcPr>
            <w:shd w:val="clear" w:color="auto" w:fill="auto"/>
            <w:tcW w:w="154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应急事件处理情况</w:t>
            </w:r>
            <w:r/>
          </w:p>
        </w:tc>
        <w:tc>
          <w:tcPr>
            <w:shd w:val="clear" w:color="auto" w:fill="auto"/>
            <w:tcW w:w="4152"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如遇应急事件，云供应商按照预案完善处理事件，总结处理报告，必要时修订预案内容。未达成扣5分。</w:t>
            </w:r>
            <w:r/>
          </w:p>
        </w:tc>
        <w:tc>
          <w:tcPr>
            <w:shd w:val="clear" w:color="auto" w:fill="auto"/>
            <w:tcW w:w="7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r>
      <w:tr>
        <w:trPr>
          <w:jc w:val="center"/>
          <w:trHeight w:val="397"/>
        </w:trPr>
        <w:tc>
          <w:tcPr>
            <w:shd w:val="clear" w:color="auto" w:fill="auto"/>
            <w:tcW w:w="90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安全</w:t>
            </w:r>
            <w:r/>
          </w:p>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管理</w:t>
            </w:r>
            <w:r/>
          </w:p>
        </w:tc>
        <w:tc>
          <w:tcPr>
            <w:shd w:val="clear" w:color="auto" w:fill="auto"/>
            <w:tcW w:w="124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安全制度</w:t>
            </w:r>
            <w:r/>
          </w:p>
        </w:tc>
        <w:tc>
          <w:tcPr>
            <w:shd w:val="clear" w:color="auto" w:fill="auto"/>
            <w:tcW w:w="154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安全管理制度建设</w:t>
            </w:r>
            <w:r/>
          </w:p>
        </w:tc>
        <w:tc>
          <w:tcPr>
            <w:shd w:val="clear" w:color="auto" w:fill="auto"/>
            <w:tcW w:w="4152"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云供应商须制定规范化的安全管理制度，包括人员安全管理、密码管理、权限管理、安全监测、安全事件通报和处理、安全审计等。制度不完善扣5分。</w:t>
            </w:r>
            <w:r/>
          </w:p>
        </w:tc>
        <w:tc>
          <w:tcPr>
            <w:shd w:val="clear" w:color="auto" w:fill="auto"/>
            <w:tcW w:w="7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r>
      <w:tr>
        <w:trPr>
          <w:jc w:val="center"/>
          <w:trHeight w:val="397"/>
        </w:trPr>
        <w:tc>
          <w:tcPr>
            <w:shd w:val="clear" w:color="auto" w:fill="auto"/>
            <w:tcW w:w="90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124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安全监测</w:t>
            </w:r>
            <w:r/>
          </w:p>
        </w:tc>
        <w:tc>
          <w:tcPr>
            <w:shd w:val="clear" w:color="auto" w:fill="auto"/>
            <w:tcW w:w="154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云平台安全监测情况</w:t>
            </w:r>
            <w:r/>
          </w:p>
        </w:tc>
        <w:tc>
          <w:tcPr>
            <w:shd w:val="clear" w:color="auto" w:fill="auto"/>
            <w:tcW w:w="4152"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云供应商须对云平台安全做7x24小时监测，及时更新安全补丁，定期对云平台管理主机、云数据库等做漏洞扫描和修复，定期对日志、监测和报警等数据做统计分析，所有操作留痕。未达成扣5分。</w:t>
            </w:r>
            <w:r/>
          </w:p>
        </w:tc>
        <w:tc>
          <w:tcPr>
            <w:shd w:val="clear" w:color="auto" w:fill="auto"/>
            <w:tcW w:w="7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r>
      <w:tr>
        <w:trPr>
          <w:jc w:val="center"/>
          <w:trHeight w:val="397"/>
        </w:trPr>
        <w:tc>
          <w:tcPr>
            <w:shd w:val="clear" w:color="auto" w:fill="auto"/>
            <w:tcW w:w="90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124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安全事件处理</w:t>
            </w:r>
            <w:r/>
          </w:p>
        </w:tc>
        <w:tc>
          <w:tcPr>
            <w:shd w:val="clear" w:color="auto" w:fill="auto"/>
            <w:tcW w:w="154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安全事件处理情况</w:t>
            </w:r>
            <w:r/>
          </w:p>
        </w:tc>
        <w:tc>
          <w:tcPr>
            <w:shd w:val="clear" w:color="auto" w:fill="auto"/>
            <w:tcW w:w="4152"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如遇安全事件，云供应商及时通知用户并配合用户有效处理事件，总结处理报告。未达成扣5分。</w:t>
            </w:r>
            <w:r/>
          </w:p>
        </w:tc>
        <w:tc>
          <w:tcPr>
            <w:shd w:val="clear" w:color="auto" w:fill="auto"/>
            <w:tcW w:w="7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r>
      <w:tr>
        <w:trPr>
          <w:jc w:val="center"/>
          <w:trHeight w:val="397"/>
        </w:trPr>
        <w:tc>
          <w:tcPr>
            <w:shd w:val="clear" w:color="auto" w:fill="auto"/>
            <w:tcW w:w="90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124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安全报告</w:t>
            </w:r>
            <w:r/>
          </w:p>
        </w:tc>
        <w:tc>
          <w:tcPr>
            <w:shd w:val="clear" w:color="auto" w:fill="auto"/>
            <w:tcW w:w="154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安全运行报告执行情况</w:t>
            </w:r>
            <w:r/>
          </w:p>
        </w:tc>
        <w:tc>
          <w:tcPr>
            <w:shd w:val="clear" w:color="auto" w:fill="auto"/>
            <w:tcW w:w="4152"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云供应商每月提交1次安全报告。每缺少1次，扣2分。</w:t>
            </w:r>
            <w:r/>
          </w:p>
        </w:tc>
        <w:tc>
          <w:tcPr>
            <w:shd w:val="clear" w:color="auto" w:fill="auto"/>
            <w:tcW w:w="7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r>
      <w:tr>
        <w:trPr>
          <w:jc w:val="center"/>
          <w:trHeight w:val="397"/>
        </w:trPr>
        <w:tc>
          <w:tcPr>
            <w:gridSpan w:val="4"/>
            <w:shd w:val="clear" w:color="auto" w:fill="auto"/>
            <w:tcW w:w="7852"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总计</w:t>
            </w:r>
            <w:r/>
          </w:p>
        </w:tc>
        <w:tc>
          <w:tcPr>
            <w:shd w:val="clear" w:color="auto" w:fill="auto"/>
            <w:tcW w:w="7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100</w:t>
            </w:r>
            <w:r/>
          </w:p>
        </w:tc>
      </w:tr>
    </w:tbl>
    <w:p>
      <w:pPr>
        <w:ind w:left="0" w:right="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【本文结束】</w:t>
      </w:r>
      <w:r/>
    </w:p>
    <w:p>
      <w:pPr>
        <w:pStyle w:val="111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096"/>
        <w:numPr>
          <w:ilvl w:val="1"/>
          <w:numId w:val="0"/>
        </w:numPr>
        <w:ind w:left="0" w:right="0"/>
        <w:pageBreakBefore w:val="0"/>
        <w:spacing w:before="0" w:after="0" w:line="440" w:lineRule="exact"/>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附件四：云</w:t>
      </w:r>
      <w:r>
        <w:rPr>
          <w:rFonts w:hint="eastAsia" w:ascii="宋体" w:hAnsi="宋体" w:eastAsia="宋体" w:cs="宋体"/>
          <w:b/>
          <w:bCs/>
          <w:color w:val="000000" w:themeColor="text1"/>
          <w:sz w:val="24"/>
          <w:highlight w:val="none"/>
          <w14:textFill>
            <w14:solidFill>
              <w14:schemeClr w14:val="tx1"/>
            </w14:solidFill>
          </w14:textFill>
        </w:rPr>
        <w:t xml:space="preserve">平台</w:t>
      </w:r>
      <w:r>
        <w:rPr>
          <w:rFonts w:hint="eastAsia" w:ascii="宋体" w:hAnsi="宋体" w:eastAsia="宋体" w:cs="宋体"/>
          <w:b/>
          <w:bCs/>
          <w:color w:val="000000" w:themeColor="text1"/>
          <w:sz w:val="24"/>
          <w:szCs w:val="24"/>
          <w:highlight w:val="none"/>
          <w14:textFill>
            <w14:solidFill>
              <w14:schemeClr w14:val="tx1"/>
            </w14:solidFill>
          </w14:textFill>
        </w:rPr>
        <w:t xml:space="preserve">服务条目清单及价格</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采购需求</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left="0" w:right="0" w:firstLine="0"/>
        <w:pageBreakBefore w:val="0"/>
        <w:spacing w:line="44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ind w:left="0" w:right="0" w:firstLine="0"/>
        <w:pageBreakBefore w:val="0"/>
        <w:spacing w:line="44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附件五：云服务费结算单</w:t>
      </w:r>
      <w:r/>
    </w:p>
    <w:p>
      <w:pPr>
        <w:pStyle w:val="1523"/>
        <w:ind w:left="0" w:right="0" w:firstLine="3600"/>
        <w:jc w:val="both"/>
        <w:pageBreakBefore w:val="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云服务费结算单</w:t>
      </w:r>
      <w:r/>
    </w:p>
    <w:p>
      <w:pPr>
        <w:ind w:left="0" w:right="0"/>
        <w:jc w:val="center"/>
        <w:pageBreakBefore w:val="0"/>
        <w:spacing w:line="44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丰县大数据管理中心</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（甲方）与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（乙方）经友好协商，在平等互利的基础上，根据甲、乙方双方于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月签订的《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合同》（合同号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）（以下简称“合同”）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以及缩容或扩容后的实际使用量，</w:t>
      </w:r>
      <w:r>
        <w:rPr>
          <w:rFonts w:hint="eastAsia" w:ascii="宋体" w:hAnsi="宋体" w:eastAsia="宋体" w:cs="宋体"/>
          <w:color w:val="000000" w:themeColor="text1"/>
          <w:sz w:val="24"/>
          <w:szCs w:val="24"/>
          <w:highlight w:val="none"/>
          <w14:textFill>
            <w14:solidFill>
              <w14:schemeClr w14:val="tx1"/>
            </w14:solidFill>
          </w14:textFill>
        </w:rPr>
        <w:t xml:space="preserve">按以下约定结算云服务费用。</w:t>
      </w:r>
      <w:r/>
    </w:p>
    <w:p>
      <w:pPr>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0" w:right="0" w:firstLine="480"/>
        <w:pageBreakBefore w:val="0"/>
        <w:spacing w:line="440" w:lineRule="exact"/>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结算周期：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202  /   /    </w:t>
      </w:r>
      <w:r>
        <w:rPr>
          <w:rFonts w:hint="eastAsia" w:ascii="宋体" w:hAnsi="宋体" w:eastAsia="宋体" w:cs="宋体"/>
          <w:color w:val="000000" w:themeColor="text1"/>
          <w:sz w:val="24"/>
          <w:szCs w:val="24"/>
          <w:highlight w:val="none"/>
          <w14:textFill>
            <w14:solidFill>
              <w14:schemeClr w14:val="tx1"/>
            </w14:solidFill>
          </w14:textFill>
        </w:rPr>
        <w:t xml:space="preserve"> 至</w:t>
      </w:r>
      <w:r>
        <w:rPr>
          <w:rFonts w:hint="eastAsia" w:ascii="宋体" w:hAnsi="宋体" w:eastAsia="宋体" w:cs="宋体"/>
          <w:color w:val="000000" w:themeColor="text1"/>
          <w:sz w:val="24"/>
          <w:szCs w:val="24"/>
          <w:highlight w:val="none"/>
          <w:u w:val="single"/>
          <w14:textFill>
            <w14:solidFill>
              <w14:schemeClr w14:val="tx1"/>
            </w14:solidFill>
          </w14:textFill>
        </w:rPr>
        <w:t xml:space="preserve">202 /   /   </w:t>
      </w:r>
      <w:r/>
    </w:p>
    <w:p>
      <w:pPr>
        <w:ind w:left="0" w:right="0" w:firstLine="48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0" w:right="0"/>
        <w:pageBreakBefore w:val="0"/>
        <w:spacing w:line="44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一、结算产品及价格                                   单位：人民币元</w:t>
      </w:r>
      <w:r/>
    </w:p>
    <w:tbl>
      <w:tblPr>
        <w:tblStyle w:val="1105"/>
        <w:tblW w:w="8872"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556"/>
        <w:gridCol w:w="1620"/>
        <w:gridCol w:w="1176"/>
        <w:gridCol w:w="714"/>
        <w:gridCol w:w="892"/>
        <w:gridCol w:w="892"/>
        <w:gridCol w:w="1330"/>
        <w:gridCol w:w="1692"/>
      </w:tblGrid>
      <w:tr>
        <w:trPr>
          <w:trHeight w:val="334"/>
        </w:trPr>
        <w:tc>
          <w:tcPr>
            <w:shd w:val="clear" w:color="auto" w:fill="ffffff"/>
            <w:tcW w:w="55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shd w:val="clear" w:color="auto" w:fill="ffffff"/>
            <w:tcW w:w="16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结算产品名称</w:t>
            </w:r>
            <w:r/>
          </w:p>
        </w:tc>
        <w:tc>
          <w:tcPr>
            <w:shd w:val="clear" w:color="auto" w:fill="ffffff"/>
            <w:tcW w:w="117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规格型号</w:t>
            </w:r>
            <w:r/>
          </w:p>
        </w:tc>
        <w:tc>
          <w:tcPr>
            <w:shd w:val="clear" w:color="auto" w:fill="ffffff"/>
            <w:tcW w:w="71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单位</w:t>
            </w:r>
            <w:r/>
          </w:p>
        </w:tc>
        <w:tc>
          <w:tcPr>
            <w:shd w:val="clear" w:color="auto" w:fill="ffffff"/>
            <w:tcW w:w="892"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单价</w:t>
            </w:r>
            <w:r/>
          </w:p>
        </w:tc>
        <w:tc>
          <w:tcPr>
            <w:shd w:val="clear" w:color="auto" w:fill="ffffff"/>
            <w:tcW w:w="892"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数量</w:t>
            </w:r>
            <w:r/>
          </w:p>
        </w:tc>
        <w:tc>
          <w:tcPr>
            <w:shd w:val="clear" w:color="auto" w:fill="ffffff"/>
            <w:tcW w:w="133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合计</w:t>
            </w:r>
            <w:r/>
          </w:p>
        </w:tc>
        <w:tc>
          <w:tcPr>
            <w:shd w:val="clear" w:color="auto" w:fill="ffffff"/>
            <w:tcW w:w="1692"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备注</w:t>
            </w:r>
            <w:r/>
          </w:p>
        </w:tc>
      </w:tr>
      <w:tr>
        <w:trPr>
          <w:trHeight w:val="416"/>
        </w:trPr>
        <w:tc>
          <w:tcPr>
            <w:shd w:val="clear" w:color="auto" w:fill="ffffff"/>
            <w:tcW w:w="55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ffffff"/>
            <w:tcW w:w="16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ffffff"/>
            <w:tcW w:w="1176" w:type="dxa"/>
            <w:vAlign w:val="center"/>
            <w:textDirection w:val="lrTb"/>
            <w:noWrap w:val="false"/>
          </w:tcPr>
          <w:p>
            <w:pPr>
              <w:ind w:left="0" w:right="0"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ffffff"/>
            <w:tcW w:w="714" w:type="dxa"/>
            <w:vAlign w:val="center"/>
            <w:textDirection w:val="lrTb"/>
            <w:noWrap w:val="false"/>
          </w:tcPr>
          <w:p>
            <w:pPr>
              <w:ind w:left="0" w:right="0"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shd w:val="clear" w:color="auto" w:fill="ffffff"/>
            <w:tcW w:w="892"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ffffff"/>
            <w:tcW w:w="892"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ffffff"/>
            <w:tcW w:w="133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ffffff"/>
            <w:tcW w:w="1692"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170"/>
        </w:trPr>
        <w:tc>
          <w:tcPr>
            <w:shd w:val="clear" w:color="auto" w:fill="ffffff"/>
            <w:tcW w:w="55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ffffff"/>
            <w:tcW w:w="16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ffffff"/>
            <w:tcW w:w="1176" w:type="dxa"/>
            <w:vAlign w:val="center"/>
            <w:textDirection w:val="lrTb"/>
            <w:noWrap w:val="false"/>
          </w:tcPr>
          <w:p>
            <w:pPr>
              <w:ind w:left="0" w:right="0"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ffffff"/>
            <w:tcW w:w="71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ffffff"/>
            <w:tcW w:w="892"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ffffff"/>
            <w:tcW w:w="892"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ffffff"/>
            <w:tcW w:w="133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ffffff"/>
            <w:tcW w:w="1692"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170"/>
        </w:trPr>
        <w:tc>
          <w:tcPr>
            <w:shd w:val="clear" w:color="auto" w:fill="ffffff"/>
            <w:tcW w:w="55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ffffff"/>
            <w:tcW w:w="16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ffffff"/>
            <w:tcW w:w="1176" w:type="dxa"/>
            <w:vAlign w:val="center"/>
            <w:textDirection w:val="lrTb"/>
            <w:noWrap w:val="false"/>
          </w:tcPr>
          <w:p>
            <w:pPr>
              <w:ind w:left="0" w:right="0"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ffffff"/>
            <w:tcW w:w="71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ffffff"/>
            <w:tcW w:w="892"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ffffff"/>
            <w:tcW w:w="892"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ffffff"/>
            <w:tcW w:w="133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ffffff"/>
            <w:tcW w:w="1692"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170"/>
        </w:trPr>
        <w:tc>
          <w:tcPr>
            <w:shd w:val="clear" w:color="auto" w:fill="ffffff"/>
            <w:tcW w:w="55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ffffff"/>
            <w:tcW w:w="16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ffffff"/>
            <w:tcW w:w="1176" w:type="dxa"/>
            <w:vAlign w:val="center"/>
            <w:textDirection w:val="lrTb"/>
            <w:noWrap w:val="false"/>
          </w:tcPr>
          <w:p>
            <w:pPr>
              <w:ind w:left="0" w:right="0"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ffffff"/>
            <w:tcW w:w="71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ffffff"/>
            <w:tcW w:w="892"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ffffff"/>
            <w:tcW w:w="892"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ffffff"/>
            <w:tcW w:w="133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ffffff"/>
            <w:tcW w:w="1692"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170"/>
        </w:trPr>
        <w:tc>
          <w:tcPr>
            <w:shd w:val="clear" w:color="auto" w:fill="ffffff"/>
            <w:tcW w:w="55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ffffff"/>
            <w:tcW w:w="16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ffffff"/>
            <w:tcW w:w="1176" w:type="dxa"/>
            <w:vAlign w:val="center"/>
            <w:textDirection w:val="lrTb"/>
            <w:noWrap w:val="false"/>
          </w:tcPr>
          <w:p>
            <w:pPr>
              <w:ind w:left="0" w:right="0"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ffffff"/>
            <w:tcW w:w="71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ffffff"/>
            <w:tcW w:w="892"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ffffff"/>
            <w:tcW w:w="892"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ffffff"/>
            <w:tcW w:w="133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ffffff"/>
            <w:tcW w:w="1692"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170"/>
        </w:trPr>
        <w:tc>
          <w:tcPr>
            <w:shd w:val="clear" w:color="auto" w:fill="ffffff"/>
            <w:tcW w:w="55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ffffff"/>
            <w:tcW w:w="16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ffffff"/>
            <w:tcW w:w="1176" w:type="dxa"/>
            <w:vAlign w:val="center"/>
            <w:textDirection w:val="lrTb"/>
            <w:noWrap w:val="false"/>
          </w:tcPr>
          <w:p>
            <w:pPr>
              <w:ind w:left="0" w:right="0"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ffffff"/>
            <w:tcW w:w="71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ffffff"/>
            <w:tcW w:w="892"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ffffff"/>
            <w:tcW w:w="892"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ffffff"/>
            <w:tcW w:w="133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ffffff"/>
            <w:tcW w:w="1692"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350"/>
        </w:trPr>
        <w:tc>
          <w:tcPr>
            <w:gridSpan w:val="8"/>
            <w:shd w:val="clear" w:color="auto" w:fill="ffffff"/>
            <w:tcW w:w="8872" w:type="dxa"/>
            <w:vAlign w:val="center"/>
            <w:textDirection w:val="lrTb"/>
            <w:noWrap w:val="false"/>
          </w:tcPr>
          <w:p>
            <w:pPr>
              <w:ind w:left="0" w:right="0" w:firstLine="0"/>
              <w:keepLines w:val="0"/>
              <w:keepNext w:val="0"/>
              <w:pageBreakBefore w:val="0"/>
              <w:spacing w:line="240" w:lineRule="auto"/>
              <w:widowControl w:val="off"/>
              <w:tabs>
                <w:tab w:val="left" w:pos="5410" w:leader="none"/>
              </w:tabs>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结算单总金额（大写）：人民币        整        CNY（小写）￥：        </w:t>
            </w:r>
            <w:r/>
          </w:p>
          <w:p>
            <w:pPr>
              <w:ind w:left="0" w:right="0" w:firstLine="0"/>
              <w:keepLines w:val="0"/>
              <w:keepNext w:val="0"/>
              <w:pageBreakBefore w:val="0"/>
              <w:spacing w:line="240" w:lineRule="auto"/>
              <w:widowControl w:val="off"/>
              <w:tabs>
                <w:tab w:val="left" w:pos="5410" w:leader="none"/>
              </w:tabs>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应付款金额(大写)：人民币</w:t>
            </w:r>
            <w:r/>
          </w:p>
        </w:tc>
      </w:tr>
      <w:tr>
        <w:trPr>
          <w:trHeight w:val="424"/>
        </w:trPr>
        <w:tc>
          <w:tcPr>
            <w:gridSpan w:val="8"/>
            <w:shd w:val="clear" w:color="auto" w:fill="ffffff"/>
            <w:tcW w:w="8872" w:type="dxa"/>
            <w:textDirection w:val="lrTb"/>
            <w:noWrap w:val="false"/>
          </w:tcPr>
          <w:p>
            <w:pPr>
              <w:ind w:left="0" w:right="0" w:firstLine="0"/>
              <w:keepLines w:val="0"/>
              <w:keepNext w:val="0"/>
              <w:pageBreakBefore w:val="0"/>
              <w:spacing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备注：</w:t>
            </w:r>
            <w:r/>
          </w:p>
          <w:p>
            <w:pPr>
              <w:ind w:left="0" w:right="0" w:firstLine="0"/>
              <w:keepLines w:val="0"/>
              <w:keepNext w:val="0"/>
              <w:pageBreakBefore w:val="0"/>
              <w:spacing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1、甲方应在结算确认后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个工作日将应付款打到乙方指定账户。</w:t>
            </w:r>
            <w:r/>
          </w:p>
        </w:tc>
      </w:tr>
    </w:tbl>
    <w:p>
      <w:pPr>
        <w:ind w:left="0" w:right="0"/>
        <w:pageBreakBefore w:val="0"/>
        <w:spacing w:line="44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tbl>
      <w:tblPr>
        <w:tblStyle w:val="1105"/>
        <w:tblpPr w:horzAnchor="margin" w:tblpXSpec="left" w:vertAnchor="text" w:tblpY="8" w:leftFromText="180" w:topFromText="0" w:rightFromText="180" w:bottomFromText="0"/>
        <w:tblW w:w="89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5"/>
        <w:gridCol w:w="3466"/>
        <w:gridCol w:w="4834"/>
      </w:tblGrid>
      <w:tr>
        <w:trPr>
          <w:trHeight w:val="406"/>
        </w:trPr>
        <w:tc>
          <w:tcPr>
            <w:tcW w:w="695" w:type="dxa"/>
            <w:vAlign w:val="center"/>
            <w:vMerge w:val="restart"/>
            <w:textDirection w:val="lrTb"/>
            <w:noWrap w:val="false"/>
          </w:tcPr>
          <w:p>
            <w:pPr>
              <w:ind w:left="0" w:right="0" w:firstLine="0"/>
              <w:keepLines w:val="0"/>
              <w:keepNext w:val="0"/>
              <w:pageBreakBefore w:val="0"/>
              <w:spacing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结算统计服务</w:t>
            </w:r>
            <w:r/>
          </w:p>
        </w:tc>
        <w:tc>
          <w:tcPr>
            <w:tcW w:w="3466" w:type="dxa"/>
            <w:textDirection w:val="lrTb"/>
            <w:noWrap w:val="false"/>
          </w:tcPr>
          <w:p>
            <w:pPr>
              <w:ind w:left="0" w:right="0"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结算统计日期： </w:t>
            </w:r>
            <w:r/>
          </w:p>
        </w:tc>
        <w:tc>
          <w:tcPr>
            <w:tcW w:w="4834" w:type="dxa"/>
            <w:textDirection w:val="lrTb"/>
            <w:noWrap w:val="false"/>
          </w:tcPr>
          <w:p>
            <w:pPr>
              <w:ind w:left="0" w:right="0"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结算人： </w:t>
            </w:r>
            <w:r/>
          </w:p>
        </w:tc>
      </w:tr>
      <w:tr>
        <w:trPr>
          <w:trHeight w:val="782"/>
        </w:trPr>
        <w:tc>
          <w:tcPr>
            <w:tcW w:w="695" w:type="dxa"/>
            <w:vAlign w:val="center"/>
            <w:vMerge w:val="continue"/>
            <w:textDirection w:val="lrTb"/>
            <w:noWrap w:val="false"/>
          </w:tcPr>
          <w:p>
            <w:pPr>
              <w:ind w:left="0" w:right="0" w:firstLine="0"/>
              <w:keepLines w:val="0"/>
              <w:keepNext w:val="0"/>
              <w:pageBreakBefore w:val="0"/>
              <w:spacing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r>
            <w:r/>
          </w:p>
        </w:tc>
        <w:tc>
          <w:tcPr>
            <w:tcW w:w="3466" w:type="dxa"/>
            <w:textDirection w:val="lrTb"/>
            <w:noWrap w:val="false"/>
          </w:tcPr>
          <w:p>
            <w:pPr>
              <w:ind w:left="0" w:right="0"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反馈</w:t>
            </w:r>
            <w:r/>
          </w:p>
          <w:p>
            <w:pPr>
              <w:ind w:left="0" w:right="0" w:firstLine="0"/>
              <w:keepLines w:val="0"/>
              <w:keepNext w:val="0"/>
              <w:pageBreakBefore w:val="0"/>
              <w:spacing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E-mail：</w:t>
            </w:r>
            <w:r>
              <w:rPr>
                <w:rFonts w:hint="eastAsia" w:ascii="宋体" w:hAnsi="宋体" w:eastAsia="宋体" w:cs="宋体"/>
                <w:b/>
                <w:color w:val="000000" w:themeColor="text1"/>
                <w:sz w:val="24"/>
                <w:szCs w:val="24"/>
                <w:highlight w:val="none"/>
                <w14:textFill>
                  <w14:solidFill>
                    <w14:schemeClr w14:val="tx1"/>
                  </w14:solidFill>
                </w14:textFill>
              </w:rPr>
              <w:t xml:space="preserve">               </w:t>
            </w:r>
            <w:r/>
          </w:p>
        </w:tc>
        <w:tc>
          <w:tcPr>
            <w:tcW w:w="4834" w:type="dxa"/>
            <w:textDirection w:val="lrTb"/>
            <w:noWrap w:val="false"/>
          </w:tcPr>
          <w:p>
            <w:pPr>
              <w:ind w:left="0" w:right="0"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联系电话：</w:t>
            </w:r>
            <w:r/>
          </w:p>
        </w:tc>
      </w:tr>
      <w:tr>
        <w:trPr>
          <w:trHeight w:val="583"/>
        </w:trPr>
        <w:tc>
          <w:tcPr>
            <w:tcW w:w="695" w:type="dxa"/>
            <w:vAlign w:val="center"/>
            <w:vMerge w:val="restart"/>
            <w:textDirection w:val="lrTb"/>
            <w:noWrap w:val="false"/>
          </w:tcPr>
          <w:p>
            <w:pPr>
              <w:ind w:left="0" w:right="0" w:firstLine="0"/>
              <w:keepLines w:val="0"/>
              <w:keepNext w:val="0"/>
              <w:pageBreakBefore w:val="0"/>
              <w:spacing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其他约定</w:t>
            </w:r>
            <w:r/>
          </w:p>
        </w:tc>
        <w:tc>
          <w:tcPr>
            <w:gridSpan w:val="2"/>
            <w:tcW w:w="8300" w:type="dxa"/>
            <w:textDirection w:val="lrTb"/>
            <w:noWrap w:val="false"/>
          </w:tcPr>
          <w:p>
            <w:pPr>
              <w:ind w:left="0" w:right="0" w:firstLine="0"/>
              <w:keepLines w:val="0"/>
              <w:keepNext w:val="0"/>
              <w:pageBreakBefore w:val="0"/>
              <w:spacing w:line="24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r>
            <w:r/>
          </w:p>
        </w:tc>
      </w:tr>
      <w:tr>
        <w:trPr>
          <w:trHeight w:val="406"/>
        </w:trPr>
        <w:tc>
          <w:tcPr>
            <w:tcW w:w="695" w:type="dxa"/>
            <w:vAlign w:val="center"/>
            <w:vMerge w:val="continue"/>
            <w:textDirection w:val="lrTb"/>
            <w:noWrap w:val="false"/>
          </w:tcPr>
          <w:p>
            <w:pPr>
              <w:ind w:left="0" w:right="0"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W w:w="8300" w:type="dxa"/>
            <w:textDirection w:val="lrTb"/>
            <w:noWrap w:val="false"/>
          </w:tcPr>
          <w:p>
            <w:pPr>
              <w:ind w:left="0" w:right="0"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406"/>
        </w:trPr>
        <w:tc>
          <w:tcPr>
            <w:tcW w:w="695" w:type="dxa"/>
            <w:vAlign w:val="center"/>
            <w:textDirection w:val="lrTb"/>
            <w:noWrap w:val="false"/>
          </w:tcPr>
          <w:p>
            <w:pPr>
              <w:ind w:left="0" w:right="0"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附件清单</w:t>
            </w:r>
            <w:r/>
          </w:p>
        </w:tc>
        <w:tc>
          <w:tcPr>
            <w:gridSpan w:val="2"/>
            <w:tcW w:w="8300" w:type="dxa"/>
            <w:textDirection w:val="lrTb"/>
            <w:noWrap w:val="false"/>
          </w:tcPr>
          <w:p>
            <w:pPr>
              <w:ind w:left="0" w:right="0"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764"/>
        </w:trPr>
        <w:tc>
          <w:tcPr>
            <w:tcW w:w="695" w:type="dxa"/>
            <w:vAlign w:val="center"/>
            <w:textDirection w:val="lrTb"/>
            <w:noWrap w:val="false"/>
          </w:tcPr>
          <w:p>
            <w:pPr>
              <w:ind w:left="0" w:right="0" w:firstLine="0"/>
              <w:keepLines w:val="0"/>
              <w:keepNext w:val="0"/>
              <w:pageBreakBefore w:val="0"/>
              <w:spacing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附加约定</w:t>
            </w:r>
            <w:r/>
          </w:p>
        </w:tc>
        <w:tc>
          <w:tcPr>
            <w:gridSpan w:val="2"/>
            <w:tcW w:w="8300" w:type="dxa"/>
            <w:textDirection w:val="lrTb"/>
            <w:noWrap w:val="false"/>
          </w:tcPr>
          <w:p>
            <w:pPr>
              <w:ind w:left="0" w:right="0"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本次开票金额：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元（含税价）</w:t>
            </w:r>
            <w:r/>
          </w:p>
          <w:p>
            <w:pPr>
              <w:ind w:left="0" w:right="0"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乙方收到结算款</w:t>
            </w:r>
            <w:r>
              <w:rPr>
                <w:rFonts w:hint="eastAsia" w:ascii="宋体" w:hAnsi="宋体" w:eastAsia="宋体" w:cs="宋体"/>
                <w:color w:val="000000" w:themeColor="text1"/>
                <w:sz w:val="24"/>
                <w:szCs w:val="24"/>
                <w:highlight w:val="none"/>
                <w:u w:val="single"/>
                <w14:textFill>
                  <w14:solidFill>
                    <w14:schemeClr w14:val="tx1"/>
                  </w14:solidFill>
                </w14:textFill>
              </w:rPr>
              <w:t xml:space="preserve">  X  </w:t>
            </w:r>
            <w:r>
              <w:rPr>
                <w:rFonts w:hint="eastAsia" w:ascii="宋体" w:hAnsi="宋体" w:eastAsia="宋体" w:cs="宋体"/>
                <w:color w:val="000000" w:themeColor="text1"/>
                <w:sz w:val="24"/>
                <w:szCs w:val="24"/>
                <w:highlight w:val="none"/>
                <w14:textFill>
                  <w14:solidFill>
                    <w14:schemeClr w14:val="tx1"/>
                  </w14:solidFill>
                </w14:textFill>
              </w:rPr>
              <w:t xml:space="preserve">个工作日后，开具发票。</w:t>
            </w:r>
            <w:r/>
          </w:p>
        </w:tc>
      </w:tr>
    </w:tbl>
    <w:p>
      <w:pPr>
        <w:ind w:left="0" w:right="0"/>
        <w:pageBreakBefore w:val="0"/>
        <w:spacing w:line="44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ind w:left="0" w:right="0"/>
        <w:pageBreakBefore w:val="0"/>
        <w:spacing w:line="44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二、结算单其他内容</w:t>
      </w:r>
      <w:r/>
    </w:p>
    <w:tbl>
      <w:tblPr>
        <w:tblStyle w:val="1105"/>
        <w:tblW w:w="8983"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64"/>
        <w:gridCol w:w="1026"/>
        <w:gridCol w:w="598"/>
        <w:gridCol w:w="1971"/>
        <w:gridCol w:w="740"/>
        <w:gridCol w:w="1284"/>
        <w:gridCol w:w="876"/>
        <w:gridCol w:w="1824"/>
      </w:tblGrid>
      <w:tr>
        <w:trPr>
          <w:trHeight w:val="471"/>
        </w:trPr>
        <w:tc>
          <w:tcPr>
            <w:gridSpan w:val="4"/>
            <w:tcBorders>
              <w:top w:val="single" w:color="auto" w:sz="12" w:space="0"/>
              <w:left w:val="single" w:color="auto" w:sz="12" w:space="0"/>
              <w:bottom w:val="single" w:color="auto" w:sz="6" w:space="0"/>
            </w:tcBorders>
            <w:tcW w:w="4259" w:type="dxa"/>
            <w:textDirection w:val="lrTb"/>
            <w:noWrap w:val="false"/>
          </w:tcPr>
          <w:p>
            <w:pPr>
              <w:ind w:left="0" w:right="0"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甲方：（签章）</w:t>
            </w:r>
            <w:r/>
          </w:p>
        </w:tc>
        <w:tc>
          <w:tcPr>
            <w:gridSpan w:val="4"/>
            <w:tcBorders>
              <w:top w:val="single" w:color="auto" w:sz="12" w:space="0"/>
              <w:bottom w:val="single" w:color="auto" w:sz="6" w:space="0"/>
              <w:right w:val="single" w:color="auto" w:sz="12" w:space="0"/>
            </w:tcBorders>
            <w:tcW w:w="4724" w:type="dxa"/>
            <w:textDirection w:val="lrTb"/>
            <w:noWrap w:val="false"/>
          </w:tcPr>
          <w:p>
            <w:pPr>
              <w:ind w:left="0" w:right="0"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乙方：（签章）</w:t>
            </w:r>
            <w:r/>
          </w:p>
          <w:p>
            <w:pPr>
              <w:ind w:left="0" w:right="0"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p>
            <w:pPr>
              <w:ind w:left="0" w:right="0"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p>
            <w:pPr>
              <w:ind w:left="0" w:right="0"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413"/>
        </w:trPr>
        <w:tc>
          <w:tcPr>
            <w:gridSpan w:val="4"/>
            <w:tcBorders>
              <w:top w:val="single" w:color="auto" w:sz="6" w:space="0"/>
              <w:left w:val="single" w:color="auto" w:sz="12" w:space="0"/>
              <w:bottom w:val="single" w:color="auto" w:sz="6" w:space="0"/>
            </w:tcBorders>
            <w:tcW w:w="4259" w:type="dxa"/>
            <w:textDirection w:val="lrTb"/>
            <w:noWrap w:val="false"/>
          </w:tcPr>
          <w:p>
            <w:pPr>
              <w:ind w:left="0" w:right="0"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法定代表人或授权代表： </w:t>
            </w:r>
            <w:r/>
          </w:p>
        </w:tc>
        <w:tc>
          <w:tcPr>
            <w:gridSpan w:val="4"/>
            <w:tcBorders>
              <w:top w:val="single" w:color="auto" w:sz="6" w:space="0"/>
              <w:bottom w:val="single" w:color="auto" w:sz="6" w:space="0"/>
              <w:right w:val="single" w:color="auto" w:sz="12" w:space="0"/>
            </w:tcBorders>
            <w:tcW w:w="4724" w:type="dxa"/>
            <w:textDirection w:val="lrTb"/>
            <w:noWrap w:val="false"/>
          </w:tcPr>
          <w:p>
            <w:pPr>
              <w:ind w:left="0" w:right="0"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法定代表人或授权代表： </w:t>
            </w:r>
            <w:r/>
          </w:p>
        </w:tc>
      </w:tr>
      <w:tr>
        <w:trPr>
          <w:trHeight w:val="478"/>
        </w:trPr>
        <w:tc>
          <w:tcPr>
            <w:tcBorders>
              <w:top w:val="single" w:color="auto" w:sz="6" w:space="0"/>
              <w:left w:val="single" w:color="auto" w:sz="12" w:space="0"/>
              <w:bottom w:val="single" w:color="auto" w:sz="6" w:space="0"/>
              <w:right w:val="single" w:color="auto" w:sz="6" w:space="0"/>
            </w:tcBorders>
            <w:tcW w:w="664" w:type="dxa"/>
            <w:textDirection w:val="lrTb"/>
            <w:noWrap w:val="false"/>
          </w:tcPr>
          <w:p>
            <w:pPr>
              <w:ind w:left="0" w:right="0"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经办人：</w:t>
            </w:r>
            <w:r/>
          </w:p>
        </w:tc>
        <w:tc>
          <w:tcPr>
            <w:tcBorders>
              <w:top w:val="single" w:color="auto" w:sz="6" w:space="0"/>
              <w:left w:val="single" w:color="auto" w:sz="6" w:space="0"/>
              <w:bottom w:val="single" w:color="auto" w:sz="6" w:space="0"/>
              <w:right w:val="single" w:color="auto" w:sz="6" w:space="0"/>
            </w:tcBorders>
            <w:tcW w:w="1026" w:type="dxa"/>
            <w:textDirection w:val="lrTb"/>
            <w:noWrap w:val="false"/>
          </w:tcPr>
          <w:p>
            <w:pPr>
              <w:ind w:left="0" w:right="0"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598" w:type="dxa"/>
            <w:textDirection w:val="lrTb"/>
            <w:noWrap w:val="false"/>
          </w:tcPr>
          <w:p>
            <w:pPr>
              <w:ind w:left="0" w:right="0"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电话：</w:t>
            </w:r>
            <w:r/>
          </w:p>
        </w:tc>
        <w:tc>
          <w:tcPr>
            <w:tcBorders>
              <w:top w:val="single" w:color="auto" w:sz="6" w:space="0"/>
              <w:left w:val="single" w:color="auto" w:sz="6" w:space="0"/>
              <w:bottom w:val="single" w:color="auto" w:sz="6" w:space="0"/>
              <w:right w:val="single" w:color="auto" w:sz="6" w:space="0"/>
            </w:tcBorders>
            <w:tcW w:w="1971" w:type="dxa"/>
            <w:textDirection w:val="lrTb"/>
            <w:noWrap w:val="false"/>
          </w:tcPr>
          <w:p>
            <w:pPr>
              <w:ind w:left="0" w:right="0"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40" w:type="dxa"/>
            <w:textDirection w:val="lrTb"/>
            <w:noWrap w:val="false"/>
          </w:tcPr>
          <w:p>
            <w:pPr>
              <w:ind w:left="0" w:right="0"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经</w:t>
            </w:r>
            <w:r/>
          </w:p>
          <w:p>
            <w:pPr>
              <w:ind w:left="0" w:right="0"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办</w:t>
            </w:r>
            <w:r/>
          </w:p>
          <w:p>
            <w:pPr>
              <w:ind w:left="0" w:right="0"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人：</w:t>
            </w:r>
            <w:r/>
          </w:p>
        </w:tc>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left="0" w:right="0"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76" w:type="dxa"/>
            <w:textDirection w:val="lrTb"/>
            <w:noWrap w:val="false"/>
          </w:tcPr>
          <w:p>
            <w:pPr>
              <w:ind w:left="0" w:right="0"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电话：</w:t>
            </w:r>
            <w:r/>
          </w:p>
        </w:tc>
        <w:tc>
          <w:tcPr>
            <w:tcBorders>
              <w:top w:val="single" w:color="auto" w:sz="6" w:space="0"/>
              <w:left w:val="single" w:color="auto" w:sz="6" w:space="0"/>
              <w:bottom w:val="single" w:color="auto" w:sz="6" w:space="0"/>
              <w:right w:val="single" w:color="auto" w:sz="12" w:space="0"/>
            </w:tcBorders>
            <w:tcW w:w="1824" w:type="dxa"/>
            <w:textDirection w:val="lrTb"/>
            <w:noWrap w:val="false"/>
          </w:tcPr>
          <w:p>
            <w:pPr>
              <w:ind w:left="0" w:right="0"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r>
    </w:tbl>
    <w:p>
      <w:pPr>
        <w:ind w:left="0" w:right="0"/>
        <w:jc w:val="center"/>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left="0" w:right="0"/>
        <w:jc w:val="right"/>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结算单确认时间：       年       月       日</w:t>
      </w:r>
      <w:r/>
    </w:p>
    <w:p>
      <w:pPr>
        <w:ind w:left="0" w:right="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0" w:right="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【本文结束】</w:t>
      </w:r>
      <w:r/>
    </w:p>
    <w:p>
      <w:pPr>
        <w:ind w:left="0" w:right="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0" w:right="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附件六：技术参数响应表，具体如下：</w:t>
      </w:r>
      <w:r/>
    </w:p>
    <w:p>
      <w:pPr>
        <w:ind w:left="0" w:right="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项目需求理解与分析（要求见招标文件第六章《采购需求》）；</w:t>
      </w:r>
      <w:r/>
    </w:p>
    <w:p>
      <w:pPr>
        <w:ind w:left="0" w:right="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总体技术方案（要求见招标文件第六章《采购需求》）；</w:t>
      </w:r>
      <w:r/>
    </w:p>
    <w:p>
      <w:pPr>
        <w:ind w:left="0" w:right="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国产化适配服务方案（要求见招标文件第六章《采购需求》）；</w:t>
      </w:r>
      <w:r/>
    </w:p>
    <w:p>
      <w:pPr>
        <w:ind w:left="0" w:right="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安全服务方案（要求见招标文件第六章《采购需求》）；</w:t>
      </w:r>
      <w:r/>
    </w:p>
    <w:p>
      <w:pPr>
        <w:ind w:left="0" w:right="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迁移服务方案（要求见招标文件第六章《采购需求》）；</w:t>
      </w:r>
      <w:r/>
    </w:p>
    <w:p>
      <w:pPr>
        <w:ind w:left="0" w:right="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运营维护服务及组织机构设置和人员配备方案（要求见招标文件第六章《采购需求》）；</w:t>
      </w:r>
      <w:r/>
    </w:p>
    <w:p>
      <w:pPr>
        <w:ind w:left="0" w:right="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云服务技术参数响应表（要求见招标文件第六章《采购需求》）；</w:t>
      </w:r>
      <w:r/>
    </w:p>
    <w:p>
      <w:pPr>
        <w:ind w:left="0" w:right="0" w:firstLine="240"/>
        <w:jc w:val="center"/>
        <w:pageBreakBefore w:val="0"/>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0" w:right="0" w:firstLine="320"/>
        <w:jc w:val="center"/>
        <w:pageBreakBefore w:val="0"/>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0" w:right="0" w:firstLine="320"/>
        <w:jc w:val="center"/>
        <w:pageBreakBefore w:val="0"/>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11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11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11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11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11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11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11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11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11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11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11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13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13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numPr>
          <w:ilvl w:val="0"/>
          <w:numId w:val="0"/>
        </w:numPr>
        <w:jc w:val="center"/>
        <w:rPr>
          <w:rFonts w:hint="eastAsia" w:ascii="宋体" w:hAnsi="宋体" w:eastAsia="宋体" w:cs="宋体"/>
          <w:b/>
          <w:bCs/>
          <w:color w:val="000000" w:themeColor="text1"/>
          <w:sz w:val="36"/>
          <w:szCs w:val="36"/>
          <w:highlight w:val="none"/>
          <w:lang w:val="en-US" w:eastAsia="zh-CN" w:bidi="ar-SA"/>
          <w14:textFill>
            <w14:solidFill>
              <w14:schemeClr w14:val="tx1"/>
            </w14:solidFill>
          </w14:textFill>
        </w:rPr>
        <w:outlineLvl w:val="0"/>
      </w:pPr>
      <w:r/>
      <w:bookmarkStart w:id="12" w:name="_Toc20278"/>
      <w:r/>
      <w:r/>
    </w:p>
    <w:p>
      <w:pPr>
        <w:numPr>
          <w:ilvl w:val="0"/>
          <w:numId w:val="0"/>
        </w:numPr>
        <w:jc w:val="center"/>
        <w:rPr>
          <w:rFonts w:hint="eastAsia" w:ascii="宋体" w:hAnsi="宋体" w:eastAsia="宋体" w:cs="宋体"/>
          <w:b/>
          <w:bCs/>
          <w:color w:val="000000" w:themeColor="text1"/>
          <w:sz w:val="36"/>
          <w:szCs w:val="36"/>
          <w:highlight w:val="none"/>
          <w14:textFill>
            <w14:solidFill>
              <w14:schemeClr w14:val="tx1"/>
            </w14:solidFill>
          </w14:textFill>
        </w:rPr>
        <w:outlineLvl w:val="0"/>
      </w:pPr>
      <w:r>
        <w:rPr>
          <w:rFonts w:hint="eastAsia" w:ascii="宋体" w:hAnsi="宋体" w:eastAsia="宋体" w:cs="宋体"/>
          <w:b/>
          <w:bCs/>
          <w:color w:val="000000" w:themeColor="text1"/>
          <w:sz w:val="36"/>
          <w:szCs w:val="36"/>
          <w:highlight w:val="none"/>
          <w:lang w:val="en-US" w:eastAsia="zh-CN" w:bidi="ar-SA"/>
          <w14:textFill>
            <w14:solidFill>
              <w14:schemeClr w14:val="tx1"/>
            </w14:solidFill>
          </w14:textFill>
        </w:rPr>
        <w:t xml:space="preserve">第六章 </w:t>
      </w:r>
      <w:r>
        <w:rPr>
          <w:rFonts w:hint="eastAsia" w:ascii="宋体" w:hAnsi="宋体" w:eastAsia="宋体" w:cs="宋体"/>
          <w:b/>
          <w:bCs/>
          <w:color w:val="000000" w:themeColor="text1"/>
          <w:sz w:val="36"/>
          <w:szCs w:val="36"/>
          <w:highlight w:val="none"/>
          <w14:textFill>
            <w14:solidFill>
              <w14:schemeClr w14:val="tx1"/>
            </w14:solidFill>
          </w14:textFill>
        </w:rPr>
        <w:t xml:space="preserve">采购需求</w:t>
      </w:r>
      <w:bookmarkEnd w:id="12"/>
      <w:r/>
      <w:r/>
    </w:p>
    <w:p>
      <w:pPr>
        <w:ind w:left="0" w:firstLine="482"/>
        <w:keepLines w:val="0"/>
        <w:keepNext w:val="0"/>
        <w:pageBreakBefore w:val="0"/>
        <w:spacing w:line="500" w:lineRule="exact"/>
        <w:widowControl w:val="off"/>
        <w:rPr>
          <w:rFonts w:hint="eastAsia" w:ascii="宋体" w:hAnsi="宋体" w:eastAsia="宋体" w:cs="宋体"/>
          <w:b/>
          <w:bCs w:val="0"/>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b/>
          <w:bCs w:val="0"/>
          <w:color w:val="000000" w:themeColor="text1"/>
          <w:sz w:val="24"/>
          <w:highlight w:val="none"/>
          <w14:textFill>
            <w14:solidFill>
              <w14:schemeClr w14:val="tx1"/>
            </w14:solidFill>
          </w14:textFill>
        </w:rPr>
        <w:t xml:space="preserve">一、</w:t>
      </w: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项目说明</w:t>
      </w:r>
      <w:r/>
    </w:p>
    <w:p>
      <w:pPr>
        <w:ind w:right="0" w:firstLine="484"/>
        <w:keepLines w:val="0"/>
        <w:keepNext w:val="0"/>
        <w:pageBreakBefore w:val="0"/>
        <w:spacing w:line="400" w:lineRule="exact"/>
        <w:tabs>
          <w:tab w:val="left" w:pos="0" w:leader="none"/>
        </w:tabs>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（一）采购人：</w:t>
      </w:r>
      <w:r>
        <w:rPr>
          <w:rFonts w:hint="eastAsia" w:ascii="宋体" w:hAnsi="宋体" w:eastAsia="宋体" w:cs="宋体"/>
          <w:color w:val="000000" w:themeColor="text1"/>
          <w:sz w:val="24"/>
          <w:highlight w:val="none"/>
          <w:lang w:eastAsia="zh-CN"/>
          <w14:textFill>
            <w14:solidFill>
              <w14:schemeClr w14:val="tx1"/>
            </w14:solidFill>
          </w14:textFill>
        </w:rPr>
        <w:t xml:space="preserve">丰县大数据管理中心</w:t>
      </w:r>
      <w:r/>
    </w:p>
    <w:p>
      <w:pPr>
        <w:ind w:right="0" w:firstLine="484"/>
        <w:keepLines w:val="0"/>
        <w:keepNext w:val="0"/>
        <w:pageBreakBefore w:val="0"/>
        <w:spacing w:line="400" w:lineRule="exact"/>
        <w:tabs>
          <w:tab w:val="left" w:pos="0" w:leader="none"/>
        </w:tabs>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（二）采购项目名称：</w:t>
      </w:r>
      <w:r>
        <w:rPr>
          <w:rFonts w:hint="eastAsia" w:ascii="宋体" w:hAnsi="宋体" w:eastAsia="宋体" w:cs="宋体"/>
          <w:color w:val="000000" w:themeColor="text1"/>
          <w:sz w:val="24"/>
          <w:highlight w:val="none"/>
          <w:lang w:eastAsia="zh-CN"/>
          <w14:textFill>
            <w14:solidFill>
              <w14:schemeClr w14:val="tx1"/>
            </w14:solidFill>
          </w14:textFill>
        </w:rPr>
        <w:t xml:space="preserve">丰县云计算资源平台服务项目</w:t>
      </w:r>
      <w:r/>
    </w:p>
    <w:p>
      <w:pPr>
        <w:ind w:right="0" w:firstLine="484"/>
        <w:keepLines w:val="0"/>
        <w:keepNext w:val="0"/>
        <w:pageBreakBefore w:val="0"/>
        <w:spacing w:line="400" w:lineRule="exact"/>
        <w:tabs>
          <w:tab w:val="left" w:pos="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（三）采购标的：</w:t>
      </w:r>
      <w:r>
        <w:rPr>
          <w:rFonts w:hint="eastAsia" w:ascii="宋体" w:hAnsi="宋体" w:eastAsia="宋体" w:cs="宋体"/>
          <w:color w:val="000000" w:themeColor="text1"/>
          <w:sz w:val="24"/>
          <w:highlight w:val="none"/>
          <w:lang w:eastAsia="zh-CN"/>
          <w14:textFill>
            <w14:solidFill>
              <w14:schemeClr w14:val="tx1"/>
            </w14:solidFill>
          </w14:textFill>
        </w:rPr>
        <w:t xml:space="preserve">丰县云计算资源平台服务项目</w:t>
      </w:r>
      <w:r/>
    </w:p>
    <w:p>
      <w:pPr>
        <w:ind w:right="0" w:firstLine="484"/>
        <w:keepLines w:val="0"/>
        <w:keepNext w:val="0"/>
        <w:pageBreakBefore w:val="0"/>
        <w:spacing w:line="400" w:lineRule="exact"/>
        <w:tabs>
          <w:tab w:val="left" w:pos="0" w:leader="none"/>
        </w:tabs>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（四）本项目为专门面向中小企业的项目。</w:t>
      </w:r>
      <w:r/>
    </w:p>
    <w:p>
      <w:pPr>
        <w:ind w:right="0" w:firstLine="484"/>
        <w:keepLines w:val="0"/>
        <w:keepNext w:val="0"/>
        <w:pageBreakBefore w:val="0"/>
        <w:spacing w:line="400" w:lineRule="exact"/>
        <w:tabs>
          <w:tab w:val="left" w:pos="0" w:leader="none"/>
        </w:tabs>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bookmarkStart w:id="13" w:name="OLE_LINK204"/>
      <w:r/>
      <w:bookmarkStart w:id="14" w:name="OLE_LINK205"/>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本项目预算金额：</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440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万元。</w:t>
      </w:r>
      <w:bookmarkEnd w:id="13"/>
      <w:r/>
      <w:bookmarkEnd w:id="14"/>
      <w:r/>
      <w:r/>
    </w:p>
    <w:p>
      <w:pPr>
        <w:ind w:right="0" w:firstLine="482"/>
        <w:keepLines w:val="0"/>
        <w:keepNext w:val="0"/>
        <w:pageBreakBefore w:val="0"/>
        <w:spacing w:after="0" w:line="440" w:lineRule="exact"/>
        <w:widowControl/>
        <w:rPr>
          <w:rFonts w:hint="eastAsia" w:ascii="宋体" w:hAnsi="宋体" w:eastAsia="宋体" w:cs="宋体"/>
          <w:b/>
          <w:bCs/>
          <w:color w:val="000000" w:themeColor="text1"/>
          <w:sz w:val="24"/>
          <w:szCs w:val="24"/>
          <w:highlight w:val="none"/>
          <w14:textFill>
            <w14:solidFill>
              <w14:schemeClr w14:val="tx1"/>
            </w14:solidFill>
          </w14:textFill>
        </w:rPr>
        <w:outlineLvl w:val="9"/>
      </w:pPr>
      <w:r/>
      <w:bookmarkStart w:id="15" w:name="一项目概述"/>
      <w:r>
        <w:rPr>
          <w:rFonts w:hint="eastAsia" w:ascii="宋体" w:hAnsi="宋体" w:eastAsia="宋体" w:cs="宋体"/>
          <w:b/>
          <w:bCs/>
          <w:color w:val="000000" w:themeColor="text1"/>
          <w:sz w:val="24"/>
          <w:szCs w:val="24"/>
          <w:highlight w:val="none"/>
          <w14:textFill>
            <w14:solidFill>
              <w14:schemeClr w14:val="tx1"/>
            </w14:solidFill>
          </w14:textFill>
        </w:rPr>
        <w:t xml:space="preserve">二、技术要求</w:t>
      </w:r>
      <w:r/>
    </w:p>
    <w:p>
      <w:pPr>
        <w:ind w:right="0" w:firstLine="482"/>
        <w:keepLines w:val="0"/>
        <w:keepNext w:val="0"/>
        <w:pageBreakBefore w:val="0"/>
        <w:spacing w:after="0" w:line="440" w:lineRule="exact"/>
        <w:widowControl/>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
          <w:bCs/>
          <w:color w:val="000000" w:themeColor="text1"/>
          <w:sz w:val="24"/>
          <w:szCs w:val="24"/>
          <w:highlight w:val="none"/>
          <w14:textFill>
            <w14:solidFill>
              <w14:schemeClr w14:val="tx1"/>
            </w14:solidFill>
          </w14:textFill>
        </w:rPr>
        <w:t xml:space="preserve">项目概述</w:t>
      </w:r>
      <w:bookmarkEnd w:id="15"/>
      <w:r/>
      <w:bookmarkStart w:id="16" w:name="二服务需求总览"/>
      <w:r/>
      <w:r/>
    </w:p>
    <w:p>
      <w:pPr>
        <w:ind w:right="0" w:firstLine="482"/>
        <w:keepLines w:val="0"/>
        <w:keepNext w:val="0"/>
        <w:pageBreakBefore w:val="0"/>
        <w:spacing w:after="0" w:line="440" w:lineRule="exact"/>
        <w:widowControl/>
        <w:rPr>
          <w:rFonts w:hint="default" w:ascii="宋体" w:hAnsi="宋体" w:eastAsia="宋体" w:cs="宋体"/>
          <w:b/>
          <w:bCs/>
          <w:color w:val="000000" w:themeColor="text1"/>
          <w:sz w:val="24"/>
          <w:szCs w:val="24"/>
          <w:highlight w:val="none"/>
          <w:lang w:val="en-US"/>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1.项目背景及现状</w:t>
      </w:r>
      <w:r/>
    </w:p>
    <w:p>
      <w:pPr>
        <w:ind w:right="0" w:firstLine="480"/>
        <w:keepLines w:val="0"/>
        <w:keepNext w:val="0"/>
        <w:pageBreakBefore w:val="0"/>
        <w:spacing w:after="0"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本项目为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丰县云计算资源平台</w:t>
      </w:r>
      <w:r>
        <w:rPr>
          <w:rFonts w:hint="eastAsia" w:ascii="宋体" w:hAnsi="宋体" w:eastAsia="宋体" w:cs="宋体"/>
          <w:color w:val="000000" w:themeColor="text1"/>
          <w:sz w:val="24"/>
          <w:szCs w:val="24"/>
          <w:highlight w:val="none"/>
          <w14:textFill>
            <w14:solidFill>
              <w14:schemeClr w14:val="tx1"/>
            </w14:solidFill>
          </w14:textFill>
        </w:rPr>
        <w:t xml:space="preserve">服务采购项目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以下简称云平台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，项目内容为以采购</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云计算资源</w:t>
      </w:r>
      <w:r>
        <w:rPr>
          <w:rFonts w:hint="eastAsia" w:ascii="宋体" w:hAnsi="宋体" w:eastAsia="宋体" w:cs="宋体"/>
          <w:color w:val="000000" w:themeColor="text1"/>
          <w:sz w:val="24"/>
          <w:szCs w:val="24"/>
          <w:highlight w:val="none"/>
          <w14:textFill>
            <w14:solidFill>
              <w14:schemeClr w14:val="tx1"/>
            </w14:solidFill>
          </w14:textFill>
        </w:rPr>
        <w:t xml:space="preserve">服务的方式，依托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丰县</w:t>
      </w:r>
      <w:r>
        <w:rPr>
          <w:rFonts w:hint="eastAsia" w:ascii="宋体" w:hAnsi="宋体" w:eastAsia="宋体" w:cs="宋体"/>
          <w:color w:val="000000" w:themeColor="text1"/>
          <w:sz w:val="24"/>
          <w:szCs w:val="24"/>
          <w:highlight w:val="none"/>
          <w14:textFill>
            <w14:solidFill>
              <w14:schemeClr w14:val="tx1"/>
            </w14:solidFill>
          </w14:textFill>
        </w:rPr>
        <w:t xml:space="preserve">电子政务外网</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及互联网，</w:t>
      </w:r>
      <w:r>
        <w:rPr>
          <w:rFonts w:hint="eastAsia" w:ascii="宋体" w:hAnsi="宋体" w:eastAsia="宋体" w:cs="宋体"/>
          <w:color w:val="000000" w:themeColor="text1"/>
          <w:sz w:val="24"/>
          <w:szCs w:val="24"/>
          <w:highlight w:val="none"/>
          <w14:textFill>
            <w14:solidFill>
              <w14:schemeClr w14:val="tx1"/>
            </w14:solidFill>
          </w14:textFill>
        </w:rPr>
        <w:t xml:space="preserve">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丰县</w:t>
      </w:r>
      <w:r>
        <w:rPr>
          <w:rFonts w:hint="eastAsia" w:ascii="宋体" w:hAnsi="宋体" w:eastAsia="宋体" w:cs="宋体"/>
          <w:color w:val="000000" w:themeColor="text1"/>
          <w:sz w:val="24"/>
          <w:szCs w:val="24"/>
          <w:highlight w:val="none"/>
          <w14:textFill>
            <w14:solidFill>
              <w14:schemeClr w14:val="tx1"/>
            </w14:solidFill>
          </w14:textFill>
        </w:rPr>
        <w:t xml:space="preserve">政务信息化应用提供云资源相关服务。由</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4"/>
          <w:szCs w:val="24"/>
          <w:highlight w:val="none"/>
          <w14:textFill>
            <w14:solidFill>
              <w14:schemeClr w14:val="tx1"/>
            </w14:solidFill>
          </w14:textFill>
        </w:rPr>
        <w:t xml:space="preserve">供应商提供机房空间（机柜不少于15个，</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机房机积不低于200平方米，</w:t>
      </w:r>
      <w:r>
        <w:rPr>
          <w:rFonts w:hint="eastAsia" w:ascii="宋体" w:hAnsi="宋体" w:eastAsia="宋体" w:cs="宋体"/>
          <w:color w:val="000000" w:themeColor="text1"/>
          <w:sz w:val="24"/>
          <w:szCs w:val="24"/>
          <w:highlight w:val="none"/>
          <w14:textFill>
            <w14:solidFill>
              <w14:schemeClr w14:val="tx1"/>
            </w14:solidFill>
          </w14:textFill>
        </w:rPr>
        <w:t xml:space="preserve">且具备计算、网络）、</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机房不低于</w:t>
      </w:r>
      <w:r>
        <w:rPr>
          <w:rFonts w:hint="eastAsia" w:ascii="宋体" w:hAnsi="宋体" w:eastAsia="宋体" w:cs="宋体"/>
          <w:color w:val="000000" w:themeColor="text1"/>
          <w:sz w:val="24"/>
          <w:szCs w:val="24"/>
          <w:highlight w:val="none"/>
          <w14:textFill>
            <w14:solidFill>
              <w14:schemeClr w14:val="tx1"/>
            </w14:solidFill>
          </w14:textFill>
        </w:rPr>
        <w:t xml:space="preserve">三级等保的安全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要求及</w:t>
      </w:r>
      <w:r>
        <w:rPr>
          <w:rFonts w:hint="eastAsia" w:ascii="宋体" w:hAnsi="宋体" w:eastAsia="宋体" w:cs="宋体"/>
          <w:color w:val="000000" w:themeColor="text1"/>
          <w:sz w:val="24"/>
          <w:szCs w:val="24"/>
          <w:highlight w:val="none"/>
          <w14:textFill>
            <w14:solidFill>
              <w14:schemeClr w14:val="tx1"/>
            </w14:solidFill>
          </w14:textFill>
        </w:rPr>
        <w:t xml:space="preserve">防护能力以及7×24小时运维、运营保障等服务，同时采取物理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服务器</w:t>
      </w:r>
      <w:r>
        <w:rPr>
          <w:rFonts w:hint="eastAsia" w:ascii="宋体" w:hAnsi="宋体" w:eastAsia="宋体" w:cs="宋体"/>
          <w:color w:val="000000" w:themeColor="text1"/>
          <w:sz w:val="24"/>
          <w:szCs w:val="24"/>
          <w:highlight w:val="none"/>
          <w14:textFill>
            <w14:solidFill>
              <w14:schemeClr w14:val="tx1"/>
            </w14:solidFill>
          </w14:textFill>
        </w:rPr>
        <w:t xml:space="preserve">托管和系统上云的方式实现政务信息系统集中管理、统一运维。截至目前，全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县</w:t>
      </w:r>
      <w:r>
        <w:rPr>
          <w:rFonts w:hint="eastAsia" w:ascii="宋体" w:hAnsi="宋体" w:eastAsia="宋体" w:cs="宋体"/>
          <w:color w:val="000000" w:themeColor="text1"/>
          <w:sz w:val="24"/>
          <w:szCs w:val="24"/>
          <w:highlight w:val="none"/>
          <w14:textFill>
            <w14:solidFill>
              <w14:schemeClr w14:val="tx1"/>
            </w14:solidFill>
          </w14:textFill>
        </w:rPr>
        <w:t xml:space="preserve">已有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w:t>
      </w:r>
      <w:r>
        <w:rPr>
          <w:rFonts w:hint="eastAsia" w:ascii="宋体" w:hAnsi="宋体" w:eastAsia="宋体" w:cs="宋体"/>
          <w:color w:val="000000" w:themeColor="text1"/>
          <w:sz w:val="24"/>
          <w:szCs w:val="24"/>
          <w:highlight w:val="none"/>
          <w14:textFill>
            <w14:solidFill>
              <w14:schemeClr w14:val="tx1"/>
            </w14:solidFill>
          </w14:textFill>
        </w:rPr>
        <w:t xml:space="preserve">个业务系统，云主机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215</w:t>
      </w:r>
      <w:r>
        <w:rPr>
          <w:rFonts w:hint="eastAsia" w:ascii="宋体" w:hAnsi="宋体" w:eastAsia="宋体" w:cs="宋体"/>
          <w:color w:val="000000" w:themeColor="text1"/>
          <w:sz w:val="24"/>
          <w:szCs w:val="24"/>
          <w:highlight w:val="none"/>
          <w14:textFill>
            <w14:solidFill>
              <w14:schemeClr w14:val="tx1"/>
            </w14:solidFill>
          </w14:textFill>
        </w:rPr>
        <w:t xml:space="preserve">个，云资源</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v</w:t>
      </w:r>
      <w:r>
        <w:rPr>
          <w:rFonts w:hint="eastAsia" w:ascii="宋体" w:hAnsi="宋体" w:eastAsia="宋体" w:cs="宋体"/>
          <w:color w:val="000000" w:themeColor="text1"/>
          <w:sz w:val="24"/>
          <w:szCs w:val="24"/>
          <w:highlight w:val="none"/>
          <w14:textFill>
            <w14:solidFill>
              <w14:schemeClr w14:val="tx1"/>
            </w14:solidFill>
          </w14:textFill>
        </w:rPr>
        <w:t xml:space="preserve">CPU核数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为</w:t>
      </w:r>
      <w:r>
        <w:rPr>
          <w:rFonts w:hint="eastAsia" w:ascii="宋体" w:hAnsi="宋体" w:eastAsia="宋体" w:cs="宋体"/>
          <w:color w:val="000000" w:themeColor="text1"/>
          <w:sz w:val="24"/>
          <w:szCs w:val="24"/>
          <w:highlight w:val="none"/>
          <w14:textFill>
            <w14:solidFill>
              <w14:schemeClr w14:val="tx1"/>
            </w14:solidFill>
          </w14:textFill>
        </w:rPr>
        <w:t xml:space="preserve">1928核，内存容量4904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G</w:t>
      </w:r>
      <w:r>
        <w:rPr>
          <w:rFonts w:hint="eastAsia" w:ascii="宋体" w:hAnsi="宋体" w:eastAsia="宋体" w:cs="宋体"/>
          <w:color w:val="000000" w:themeColor="text1"/>
          <w:sz w:val="24"/>
          <w:szCs w:val="24"/>
          <w:highlight w:val="none"/>
          <w14:textFill>
            <w14:solidFill>
              <w14:schemeClr w14:val="tx1"/>
            </w14:solidFill>
          </w14:textFill>
        </w:rPr>
        <w:t xml:space="preserve">，云存储空间约135000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G。</w:t>
      </w:r>
      <w:bookmarkEnd w:id="16"/>
      <w:r/>
      <w:r/>
    </w:p>
    <w:p>
      <w:pPr>
        <w:ind w:right="0" w:firstLine="482"/>
        <w:keepLines w:val="0"/>
        <w:keepNext w:val="0"/>
        <w:pageBreakBefore w:val="0"/>
        <w:spacing w:after="0" w:line="440" w:lineRule="exact"/>
        <w:widowControl/>
        <w:rPr>
          <w:rFonts w:hint="eastAsia" w:ascii="宋体" w:hAnsi="宋体" w:eastAsia="宋体" w:cs="宋体"/>
          <w:b/>
          <w:bCs/>
          <w:strike w:val="0"/>
          <w:color w:val="000000" w:themeColor="text1"/>
          <w:sz w:val="24"/>
          <w:szCs w:val="24"/>
          <w:highlight w:val="none"/>
          <w:lang w:val="en-US" w:eastAsia="zh-CN"/>
          <w14:textFill>
            <w14:solidFill>
              <w14:schemeClr w14:val="tx1"/>
            </w14:solidFill>
          </w14:textFill>
        </w:rPr>
        <w:outlineLvl w:val="9"/>
      </w:pPr>
      <w:r/>
      <w:bookmarkStart w:id="17" w:name="一基础设施架构"/>
      <w:r>
        <w:rPr>
          <w:rFonts w:hint="eastAsia" w:ascii="宋体" w:hAnsi="宋体" w:eastAsia="宋体" w:cs="宋体"/>
          <w:b/>
          <w:bCs/>
          <w:strike w:val="0"/>
          <w:color w:val="000000" w:themeColor="text1"/>
          <w:sz w:val="24"/>
          <w:szCs w:val="24"/>
          <w:highlight w:val="none"/>
          <w:lang w:val="en-US" w:eastAsia="zh-CN"/>
          <w14:textFill>
            <w14:solidFill>
              <w14:schemeClr w14:val="tx1"/>
            </w14:solidFill>
          </w14:textFill>
        </w:rPr>
        <w:t xml:space="preserve">2.项目总体要求</w:t>
      </w:r>
      <w:r/>
    </w:p>
    <w:p>
      <w:pPr>
        <w:ind w:right="0" w:firstLine="480"/>
        <w:keepLines w:val="0"/>
        <w:keepNext w:val="0"/>
        <w:pageBreakBefore w:val="0"/>
        <w:spacing w:after="0" w:line="440" w:lineRule="exact"/>
        <w:widowControl/>
        <w:rPr>
          <w:rFonts w:hint="default" w:ascii="宋体" w:hAnsi="宋体" w:eastAsia="宋体" w:cs="宋体"/>
          <w:strike w:val="0"/>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strike w:val="0"/>
          <w:color w:val="000000" w:themeColor="text1"/>
          <w:sz w:val="24"/>
          <w:szCs w:val="24"/>
          <w:highlight w:val="none"/>
          <w14:textFill>
            <w14:solidFill>
              <w14:schemeClr w14:val="tx1"/>
            </w14:solidFill>
          </w14:textFill>
        </w:rPr>
        <w:t xml:space="preserve">采用云计算、大数据等先进技术，构建“统一规划、统一管理、统一运维”的云</w:t>
      </w: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计算资源</w:t>
      </w:r>
      <w:r>
        <w:rPr>
          <w:rFonts w:hint="eastAsia" w:ascii="宋体" w:hAnsi="宋体" w:eastAsia="宋体" w:cs="宋体"/>
          <w:strike w:val="0"/>
          <w:color w:val="000000" w:themeColor="text1"/>
          <w:sz w:val="24"/>
          <w:szCs w:val="24"/>
          <w:highlight w:val="none"/>
          <w14:textFill>
            <w14:solidFill>
              <w14:schemeClr w14:val="tx1"/>
            </w14:solidFill>
          </w14:textFill>
        </w:rPr>
        <w:t xml:space="preserve">平台，实现基础设施共建共用、数据资源汇聚共享、业务应用协同联动。基于</w:t>
      </w: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丰</w:t>
      </w:r>
      <w:r>
        <w:rPr>
          <w:rFonts w:hint="eastAsia" w:ascii="宋体" w:hAnsi="宋体" w:eastAsia="宋体" w:cs="宋体"/>
          <w:strike w:val="0"/>
          <w:color w:val="000000" w:themeColor="text1"/>
          <w:sz w:val="24"/>
          <w:szCs w:val="24"/>
          <w:highlight w:val="none"/>
          <w14:textFill>
            <w14:solidFill>
              <w14:schemeClr w14:val="tx1"/>
            </w14:solidFill>
          </w14:textFill>
        </w:rPr>
        <w:t xml:space="preserve">县电子政务外网、互联网建设安全防护体系和统一运维管理保障体系，实现IT基础资</w:t>
      </w:r>
      <w:r>
        <w:rPr>
          <w:rFonts w:hint="eastAsia" w:ascii="宋体" w:hAnsi="宋体" w:eastAsia="宋体" w:cs="宋体"/>
          <w:strike w:val="0"/>
          <w:color w:val="000000" w:themeColor="text1"/>
          <w:sz w:val="24"/>
          <w:szCs w:val="24"/>
          <w:highlight w:val="none"/>
          <w:lang w:eastAsia="zh-CN"/>
          <w14:textFill>
            <w14:solidFill>
              <w14:schemeClr w14:val="tx1"/>
            </w14:solidFill>
          </w14:textFill>
        </w:rPr>
        <w:t xml:space="preserve">源系</w:t>
      </w:r>
      <w:r>
        <w:rPr>
          <w:rFonts w:hint="eastAsia" w:ascii="宋体" w:hAnsi="宋体" w:eastAsia="宋体" w:cs="宋体"/>
          <w:strike w:val="0"/>
          <w:color w:val="000000" w:themeColor="text1"/>
          <w:sz w:val="24"/>
          <w:szCs w:val="24"/>
          <w:highlight w:val="none"/>
          <w14:textFill>
            <w14:solidFill>
              <w14:schemeClr w14:val="tx1"/>
            </w14:solidFill>
          </w14:textFill>
        </w:rPr>
        <w:t xml:space="preserve">统集约化建设，满足政</w:t>
      </w: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府</w:t>
      </w:r>
      <w:r>
        <w:rPr>
          <w:rFonts w:hint="eastAsia" w:ascii="宋体" w:hAnsi="宋体" w:eastAsia="宋体" w:cs="宋体"/>
          <w:strike w:val="0"/>
          <w:color w:val="000000" w:themeColor="text1"/>
          <w:sz w:val="24"/>
          <w:szCs w:val="24"/>
          <w:highlight w:val="none"/>
          <w14:textFill>
            <w14:solidFill>
              <w14:schemeClr w14:val="tx1"/>
            </w14:solidFill>
          </w14:textFill>
        </w:rPr>
        <w:t xml:space="preserve">部门应用系统的个性化需求</w:t>
      </w:r>
      <w:r>
        <w:rPr>
          <w:rFonts w:hint="eastAsia" w:ascii="宋体" w:hAnsi="宋体" w:eastAsia="宋体" w:cs="宋体"/>
          <w:strike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strike w:val="0"/>
          <w:color w:val="000000" w:themeColor="text1"/>
          <w:sz w:val="24"/>
          <w:szCs w:val="24"/>
          <w:highlight w:val="none"/>
          <w14:textFill>
            <w14:solidFill>
              <w14:schemeClr w14:val="tx1"/>
            </w14:solidFill>
          </w14:textFill>
        </w:rPr>
        <w:t xml:space="preserve">整体技术架构应优先采用主流技术框架，为平台后续长期、安全、稳定</w:t>
      </w:r>
      <w:r>
        <w:rPr>
          <w:rFonts w:hint="eastAsia" w:ascii="宋体" w:hAnsi="宋体" w:eastAsia="宋体" w:cs="宋体"/>
          <w:strike w:val="0"/>
          <w:color w:val="000000" w:themeColor="text1"/>
          <w:sz w:val="24"/>
          <w:szCs w:val="24"/>
          <w:highlight w:val="none"/>
          <w:lang w:eastAsia="zh-CN"/>
          <w14:textFill>
            <w14:solidFill>
              <w14:schemeClr w14:val="tx1"/>
            </w14:solidFill>
          </w14:textFill>
        </w:rPr>
        <w:t xml:space="preserve">地</w:t>
      </w:r>
      <w:r>
        <w:rPr>
          <w:rFonts w:hint="eastAsia" w:ascii="宋体" w:hAnsi="宋体" w:eastAsia="宋体" w:cs="宋体"/>
          <w:strike w:val="0"/>
          <w:color w:val="000000" w:themeColor="text1"/>
          <w:sz w:val="24"/>
          <w:szCs w:val="24"/>
          <w:highlight w:val="none"/>
          <w14:textFill>
            <w14:solidFill>
              <w14:schemeClr w14:val="tx1"/>
            </w14:solidFill>
          </w14:textFill>
        </w:rPr>
        <w:t xml:space="preserve">运行提供基础</w:t>
      </w:r>
      <w:r>
        <w:rPr>
          <w:rFonts w:hint="eastAsia" w:ascii="宋体" w:hAnsi="宋体" w:eastAsia="宋体" w:cs="宋体"/>
          <w:strike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strike w:val="0"/>
          <w:color w:val="000000" w:themeColor="text1"/>
          <w:sz w:val="24"/>
          <w:szCs w:val="24"/>
          <w:highlight w:val="none"/>
          <w14:textFill>
            <w14:solidFill>
              <w14:schemeClr w14:val="tx1"/>
            </w14:solidFill>
          </w14:textFill>
        </w:rPr>
        <w:t xml:space="preserve">能够支撑目前市场上主流的操作系统和数据库产品</w:t>
      </w:r>
      <w:r>
        <w:rPr>
          <w:rFonts w:hint="eastAsia" w:ascii="宋体" w:hAnsi="宋体" w:eastAsia="宋体" w:cs="宋体"/>
          <w:strike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以及信创国产化操作系统及相关数据库存产品</w:t>
      </w:r>
      <w:r>
        <w:rPr>
          <w:rFonts w:hint="eastAsia" w:ascii="宋体" w:hAnsi="宋体" w:eastAsia="宋体" w:cs="宋体"/>
          <w:strike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strike w:val="0"/>
          <w:color w:val="000000" w:themeColor="text1"/>
          <w:sz w:val="24"/>
          <w:szCs w:val="24"/>
          <w:highlight w:val="none"/>
          <w14:textFill>
            <w14:solidFill>
              <w14:schemeClr w14:val="tx1"/>
            </w14:solidFill>
          </w14:textFill>
        </w:rPr>
        <w:t xml:space="preserve">提供IaaS资源服务、PaaS资源服务、安全资源服务、应用迁移服务、运维保障服务等</w:t>
      </w:r>
      <w:r>
        <w:rPr>
          <w:rFonts w:hint="eastAsia" w:ascii="宋体" w:hAnsi="宋体" w:eastAsia="宋体" w:cs="宋体"/>
          <w:strike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保</w:t>
      </w:r>
      <w:r>
        <w:rPr>
          <w:rFonts w:hint="eastAsia" w:ascii="宋体" w:hAnsi="宋体" w:eastAsia="宋体" w:cs="宋体"/>
          <w:strike w:val="0"/>
          <w:color w:val="000000" w:themeColor="text1"/>
          <w:sz w:val="24"/>
          <w:szCs w:val="24"/>
          <w:highlight w:val="none"/>
          <w14:textFill>
            <w14:solidFill>
              <w14:schemeClr w14:val="tx1"/>
            </w14:solidFill>
          </w14:textFill>
        </w:rPr>
        <w:t xml:space="preserve">障</w:t>
      </w: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丰县</w:t>
      </w:r>
      <w:r>
        <w:rPr>
          <w:rFonts w:hint="eastAsia" w:ascii="宋体" w:hAnsi="宋体" w:eastAsia="宋体" w:cs="宋体"/>
          <w:strike w:val="0"/>
          <w:color w:val="000000" w:themeColor="text1"/>
          <w:sz w:val="24"/>
          <w:szCs w:val="24"/>
          <w:highlight w:val="none"/>
          <w14:textFill>
            <w14:solidFill>
              <w14:schemeClr w14:val="tx1"/>
            </w14:solidFill>
          </w14:textFill>
        </w:rPr>
        <w:t xml:space="preserve">云</w:t>
      </w: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计算资源</w:t>
      </w:r>
      <w:r>
        <w:rPr>
          <w:rFonts w:hint="eastAsia" w:ascii="宋体" w:hAnsi="宋体" w:eastAsia="宋体" w:cs="宋体"/>
          <w:strike w:val="0"/>
          <w:color w:val="000000" w:themeColor="text1"/>
          <w:sz w:val="24"/>
          <w:szCs w:val="24"/>
          <w:highlight w:val="none"/>
          <w14:textFill>
            <w14:solidFill>
              <w14:schemeClr w14:val="tx1"/>
            </w14:solidFill>
          </w14:textFill>
        </w:rPr>
        <w:t xml:space="preserve">平台的可靠性、高可用性和安全性</w:t>
      </w:r>
      <w:r>
        <w:rPr>
          <w:rFonts w:hint="eastAsia" w:ascii="宋体" w:hAnsi="宋体" w:eastAsia="宋体" w:cs="宋体"/>
          <w:strike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云计算平台技术路线设备替换工作严格遵循上级信创部署要求执行，凡明确要求采用信创国产化技术路线的，于2027年底前全面完成替换工作。</w:t>
      </w:r>
      <w:r/>
    </w:p>
    <w:p>
      <w:pPr>
        <w:ind w:left="0" w:right="0" w:firstLine="482"/>
        <w:keepLines w:val="0"/>
        <w:keepNext w:val="0"/>
        <w:pageBreakBefore w:val="0"/>
        <w:spacing w:after="0" w:line="440" w:lineRule="exact"/>
        <w:widowControl/>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3.云</w:t>
      </w:r>
      <w:r>
        <w:rPr>
          <w:rFonts w:hint="eastAsia" w:ascii="宋体" w:hAnsi="宋体" w:eastAsia="宋体" w:cs="宋体"/>
          <w:b/>
          <w:bCs/>
          <w:color w:val="000000" w:themeColor="text1"/>
          <w:sz w:val="24"/>
          <w:szCs w:val="24"/>
          <w:highlight w:val="none"/>
          <w14:textFill>
            <w14:solidFill>
              <w14:schemeClr w14:val="tx1"/>
            </w14:solidFill>
          </w14:textFill>
        </w:rPr>
        <w:t xml:space="preserve">平台初次交付云能力要求</w:t>
      </w:r>
      <w:r/>
    </w:p>
    <w:p>
      <w:pPr>
        <w:ind w:right="0" w:firstLine="480"/>
        <w:keepLines w:val="0"/>
        <w:keepNext w:val="0"/>
        <w:pageBreakBefore w:val="0"/>
        <w:spacing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云平台初次交付前需经采购人验收，初次交付所具备的云服务能力不低于下表所列要求，验收通过后方可提供服务：</w:t>
      </w:r>
      <w:r/>
    </w:p>
    <w:tbl>
      <w:tblPr>
        <w:tblStyle w:val="1105"/>
        <w:tblW w:w="8970"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811"/>
        <w:gridCol w:w="2110"/>
        <w:gridCol w:w="1534"/>
        <w:gridCol w:w="4515"/>
      </w:tblGrid>
      <w:tr>
        <w:trPr>
          <w:jc w:val="center"/>
          <w:trHeight w:val="467"/>
        </w:trPr>
        <w:tc>
          <w:tcPr>
            <w:shd w:val="clear" w:color="auto" w:fill="f1f1f1" w:themeFill="background1" w:themeFillShade="F2"/>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ind w:firstLine="113"/>
              <w:jc w:val="center"/>
              <w:keepLines w:val="0"/>
              <w:keepNext w:val="0"/>
              <w:pageBreakBefore w:val="0"/>
              <w:spacing w:line="240" w:lineRule="auto"/>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序号</w:t>
            </w:r>
            <w:r/>
          </w:p>
        </w:tc>
        <w:tc>
          <w:tcPr>
            <w:shd w:val="clear" w:color="auto" w:fill="f1f1f1" w:themeFill="background1" w:themeFillShade="F2"/>
            <w:tcBorders>
              <w:top w:val="single" w:color="auto" w:sz="4" w:space="0"/>
              <w:left w:val="none" w:color="000000" w:sz="4" w:space="0"/>
              <w:bottom w:val="single" w:color="auto" w:sz="4" w:space="0"/>
              <w:right w:val="single" w:color="auto" w:sz="4" w:space="0"/>
            </w:tcBorders>
            <w:tcW w:w="2110" w:type="dxa"/>
            <w:vAlign w:val="center"/>
            <w:textDirection w:val="lrTb"/>
            <w:noWrap w:val="false"/>
          </w:tcPr>
          <w:p>
            <w:pPr>
              <w:ind w:firstLine="113"/>
              <w:jc w:val="center"/>
              <w:keepLines w:val="0"/>
              <w:keepNext w:val="0"/>
              <w:pageBreakBefore w:val="0"/>
              <w:spacing w:line="240" w:lineRule="auto"/>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产品类别</w:t>
            </w:r>
            <w:r/>
          </w:p>
        </w:tc>
        <w:tc>
          <w:tcPr>
            <w:shd w:val="clear" w:color="auto" w:fill="f1f1f1" w:themeFill="background1" w:themeFillShade="F2"/>
            <w:tcBorders>
              <w:top w:val="single" w:color="auto" w:sz="4" w:space="0"/>
              <w:left w:val="none" w:color="000000" w:sz="4" w:space="0"/>
              <w:bottom w:val="single" w:color="auto" w:sz="4" w:space="0"/>
              <w:right w:val="single" w:color="auto" w:sz="4" w:space="0"/>
            </w:tcBorders>
            <w:tcW w:w="1534" w:type="dxa"/>
            <w:vAlign w:val="center"/>
            <w:textDirection w:val="lrTb"/>
            <w:noWrap w:val="false"/>
          </w:tcPr>
          <w:p>
            <w:pPr>
              <w:ind w:firstLine="113"/>
              <w:jc w:val="center"/>
              <w:keepLines w:val="0"/>
              <w:keepNext w:val="0"/>
              <w:pageBreakBefore w:val="0"/>
              <w:spacing w:line="240" w:lineRule="auto"/>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子类别</w:t>
            </w:r>
            <w:r/>
          </w:p>
        </w:tc>
        <w:tc>
          <w:tcPr>
            <w:shd w:val="clear" w:color="auto" w:fill="f1f1f1" w:themeFill="background1" w:themeFillShade="F2"/>
            <w:tcBorders>
              <w:top w:val="single" w:color="auto" w:sz="4" w:space="0"/>
              <w:left w:val="none" w:color="000000" w:sz="4" w:space="0"/>
              <w:bottom w:val="single" w:color="auto" w:sz="4" w:space="0"/>
              <w:right w:val="single" w:color="auto" w:sz="4" w:space="0"/>
            </w:tcBorders>
            <w:tcW w:w="4515" w:type="dxa"/>
            <w:vAlign w:val="center"/>
            <w:textDirection w:val="lrTb"/>
            <w:noWrap w:val="false"/>
          </w:tcPr>
          <w:p>
            <w:pPr>
              <w:ind w:firstLine="113"/>
              <w:jc w:val="center"/>
              <w:keepLines w:val="0"/>
              <w:keepNext w:val="0"/>
              <w:pageBreakBefore w:val="0"/>
              <w:spacing w:line="240" w:lineRule="auto"/>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产品名称</w:t>
            </w:r>
            <w:r/>
          </w:p>
        </w:tc>
      </w:tr>
      <w:tr>
        <w:trPr>
          <w:jc w:val="center"/>
          <w:trHeight w:val="395"/>
        </w:trPr>
        <w:tc>
          <w:tcPr>
            <w:shd w:val="clear" w:color="auto" w:fill="auto"/>
            <w:tcBorders>
              <w:top w:val="none" w:color="000000" w:sz="4" w:space="0"/>
              <w:left w:val="single" w:color="auto" w:sz="4" w:space="0"/>
              <w:bottom w:val="single" w:color="auto" w:sz="4" w:space="0"/>
              <w:right w:val="single" w:color="auto" w:sz="4" w:space="0"/>
            </w:tcBorders>
            <w:tcW w:w="811" w:type="dxa"/>
            <w:vAlign w:val="center"/>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2110" w:type="dxa"/>
            <w:vAlign w:val="center"/>
            <w:vMerge w:val="restart"/>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IaaS服务</w:t>
            </w:r>
            <w:r/>
          </w:p>
        </w:tc>
        <w:tc>
          <w:tcPr>
            <w:shd w:val="clear" w:color="auto" w:fill="auto"/>
            <w:tcBorders>
              <w:top w:val="none" w:color="000000" w:sz="4" w:space="0"/>
              <w:left w:val="single" w:color="auto" w:sz="4" w:space="0"/>
              <w:bottom w:val="single" w:color="auto" w:sz="4" w:space="0"/>
              <w:right w:val="single" w:color="auto" w:sz="4" w:space="0"/>
            </w:tcBorders>
            <w:tcW w:w="1534" w:type="dxa"/>
            <w:vAlign w:val="center"/>
            <w:vMerge w:val="restart"/>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计算服务</w:t>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ind w:firstLine="113"/>
              <w:jc w:val="both"/>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云服务器</w:t>
            </w:r>
            <w:r/>
          </w:p>
        </w:tc>
      </w:tr>
      <w:tr>
        <w:trPr>
          <w:jc w:val="center"/>
          <w:trHeight w:val="395"/>
        </w:trPr>
        <w:tc>
          <w:tcPr>
            <w:shd w:val="clear" w:color="auto" w:fill="auto"/>
            <w:tcBorders>
              <w:top w:val="none" w:color="000000" w:sz="4" w:space="0"/>
              <w:left w:val="single" w:color="auto" w:sz="4" w:space="0"/>
              <w:bottom w:val="single" w:color="auto" w:sz="4" w:space="0"/>
              <w:right w:val="single" w:color="auto" w:sz="4" w:space="0"/>
            </w:tcBorders>
            <w:tcW w:w="811" w:type="dxa"/>
            <w:vAlign w:val="center"/>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p>
        </w:tc>
        <w:tc>
          <w:tcPr>
            <w:tcBorders>
              <w:top w:val="none" w:color="000000" w:sz="4" w:space="0"/>
              <w:left w:val="single" w:color="auto" w:sz="4" w:space="0"/>
              <w:bottom w:val="single" w:color="auto" w:sz="4" w:space="0"/>
              <w:right w:val="single" w:color="auto" w:sz="4" w:space="0"/>
            </w:tcBorders>
            <w:tcW w:w="2110" w:type="dxa"/>
            <w:vAlign w:val="center"/>
            <w:vMerge w:val="continue"/>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34" w:type="dxa"/>
            <w:vAlign w:val="center"/>
            <w:vMerge w:val="continue"/>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ind w:firstLine="113"/>
              <w:jc w:val="both"/>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镜像</w:t>
            </w:r>
            <w:r/>
          </w:p>
        </w:tc>
      </w:tr>
      <w:tr>
        <w:trPr>
          <w:jc w:val="center"/>
          <w:trHeight w:val="395"/>
        </w:trPr>
        <w:tc>
          <w:tcPr>
            <w:shd w:val="clear" w:color="auto" w:fill="auto"/>
            <w:tcBorders>
              <w:top w:val="none" w:color="000000" w:sz="4" w:space="0"/>
              <w:left w:val="single" w:color="auto" w:sz="4" w:space="0"/>
              <w:bottom w:val="single" w:color="auto" w:sz="4" w:space="0"/>
              <w:right w:val="single" w:color="auto" w:sz="4" w:space="0"/>
            </w:tcBorders>
            <w:tcW w:w="811" w:type="dxa"/>
            <w:vAlign w:val="center"/>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w:t>
            </w:r>
            <w:r/>
          </w:p>
        </w:tc>
        <w:tc>
          <w:tcPr>
            <w:tcBorders>
              <w:top w:val="none" w:color="000000" w:sz="4" w:space="0"/>
              <w:left w:val="single" w:color="auto" w:sz="4" w:space="0"/>
              <w:bottom w:val="single" w:color="auto" w:sz="4" w:space="0"/>
              <w:right w:val="single" w:color="auto" w:sz="4" w:space="0"/>
            </w:tcBorders>
            <w:tcW w:w="2110" w:type="dxa"/>
            <w:vAlign w:val="center"/>
            <w:vMerge w:val="continue"/>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34" w:type="dxa"/>
            <w:vAlign w:val="center"/>
            <w:vMerge w:val="continue"/>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ind w:firstLine="113"/>
              <w:jc w:val="both"/>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容器</w:t>
            </w:r>
            <w:r/>
          </w:p>
        </w:tc>
      </w:tr>
      <w:tr>
        <w:trPr>
          <w:jc w:val="center"/>
          <w:trHeight w:val="395"/>
        </w:trPr>
        <w:tc>
          <w:tcPr>
            <w:shd w:val="clear" w:color="auto" w:fill="auto"/>
            <w:tcBorders>
              <w:top w:val="none" w:color="000000" w:sz="4" w:space="0"/>
              <w:left w:val="single" w:color="auto" w:sz="4" w:space="0"/>
              <w:bottom w:val="single" w:color="auto" w:sz="4" w:space="0"/>
              <w:right w:val="single" w:color="auto" w:sz="4" w:space="0"/>
            </w:tcBorders>
            <w:tcW w:w="811" w:type="dxa"/>
            <w:vAlign w:val="center"/>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w:t>
            </w:r>
            <w:r/>
          </w:p>
        </w:tc>
        <w:tc>
          <w:tcPr>
            <w:tcBorders>
              <w:top w:val="none" w:color="000000" w:sz="4" w:space="0"/>
              <w:left w:val="single" w:color="auto" w:sz="4" w:space="0"/>
              <w:bottom w:val="single" w:color="auto" w:sz="4" w:space="0"/>
              <w:right w:val="single" w:color="auto" w:sz="4" w:space="0"/>
            </w:tcBorders>
            <w:tcW w:w="2110" w:type="dxa"/>
            <w:vAlign w:val="center"/>
            <w:vMerge w:val="continue"/>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34" w:type="dxa"/>
            <w:vAlign w:val="center"/>
            <w:vMerge w:val="continue"/>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ind w:firstLine="113"/>
              <w:jc w:val="both"/>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裸金属</w:t>
            </w:r>
            <w:r/>
          </w:p>
        </w:tc>
      </w:tr>
      <w:tr>
        <w:trPr>
          <w:jc w:val="center"/>
          <w:trHeight w:val="395"/>
        </w:trPr>
        <w:tc>
          <w:tcPr>
            <w:shd w:val="clear" w:color="auto" w:fill="auto"/>
            <w:tcBorders>
              <w:top w:val="none" w:color="000000" w:sz="4" w:space="0"/>
              <w:left w:val="single" w:color="auto" w:sz="4" w:space="0"/>
              <w:bottom w:val="single" w:color="auto" w:sz="4" w:space="0"/>
              <w:right w:val="single" w:color="auto" w:sz="4" w:space="0"/>
            </w:tcBorders>
            <w:tcW w:w="811" w:type="dxa"/>
            <w:vAlign w:val="center"/>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w:t>
            </w:r>
            <w:r/>
          </w:p>
        </w:tc>
        <w:tc>
          <w:tcPr>
            <w:tcBorders>
              <w:top w:val="none" w:color="000000" w:sz="4" w:space="0"/>
              <w:left w:val="single" w:color="auto" w:sz="4" w:space="0"/>
              <w:bottom w:val="single" w:color="auto" w:sz="4" w:space="0"/>
              <w:right w:val="single" w:color="auto" w:sz="4" w:space="0"/>
            </w:tcBorders>
            <w:tcW w:w="2110" w:type="dxa"/>
            <w:vAlign w:val="center"/>
            <w:vMerge w:val="continue"/>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1534" w:type="dxa"/>
            <w:vAlign w:val="center"/>
            <w:vMerge w:val="restart"/>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存储服务</w:t>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ind w:firstLine="113"/>
              <w:jc w:val="both"/>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块存储</w:t>
            </w:r>
            <w:r/>
          </w:p>
        </w:tc>
      </w:tr>
      <w:tr>
        <w:trPr>
          <w:jc w:val="center"/>
          <w:trHeight w:val="395"/>
        </w:trPr>
        <w:tc>
          <w:tcPr>
            <w:shd w:val="clear" w:color="auto" w:fill="auto"/>
            <w:tcBorders>
              <w:top w:val="none" w:color="000000" w:sz="4" w:space="0"/>
              <w:left w:val="single" w:color="auto" w:sz="4" w:space="0"/>
              <w:bottom w:val="single" w:color="auto" w:sz="4" w:space="0"/>
              <w:right w:val="single" w:color="auto" w:sz="4" w:space="0"/>
            </w:tcBorders>
            <w:tcW w:w="811" w:type="dxa"/>
            <w:vAlign w:val="center"/>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w:t>
            </w:r>
            <w:r/>
          </w:p>
        </w:tc>
        <w:tc>
          <w:tcPr>
            <w:tcBorders>
              <w:top w:val="none" w:color="000000" w:sz="4" w:space="0"/>
              <w:left w:val="single" w:color="auto" w:sz="4" w:space="0"/>
              <w:bottom w:val="single" w:color="auto" w:sz="4" w:space="0"/>
              <w:right w:val="single" w:color="auto" w:sz="4" w:space="0"/>
            </w:tcBorders>
            <w:tcW w:w="2110" w:type="dxa"/>
            <w:vAlign w:val="center"/>
            <w:vMerge w:val="continue"/>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34" w:type="dxa"/>
            <w:vAlign w:val="center"/>
            <w:vMerge w:val="continue"/>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ind w:firstLine="113"/>
              <w:jc w:val="both"/>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对象存储</w:t>
            </w:r>
            <w:r/>
          </w:p>
        </w:tc>
      </w:tr>
      <w:tr>
        <w:trPr>
          <w:jc w:val="center"/>
          <w:trHeight w:val="395"/>
        </w:trPr>
        <w:tc>
          <w:tcPr>
            <w:shd w:val="clear" w:color="auto" w:fill="auto"/>
            <w:tcBorders>
              <w:top w:val="none" w:color="000000" w:sz="4" w:space="0"/>
              <w:left w:val="single" w:color="auto" w:sz="4" w:space="0"/>
              <w:bottom w:val="single" w:color="auto" w:sz="4" w:space="0"/>
              <w:right w:val="single" w:color="auto" w:sz="4" w:space="0"/>
            </w:tcBorders>
            <w:tcW w:w="811" w:type="dxa"/>
            <w:vAlign w:val="center"/>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w:t>
            </w:r>
            <w:r/>
          </w:p>
        </w:tc>
        <w:tc>
          <w:tcPr>
            <w:tcBorders>
              <w:top w:val="none" w:color="000000" w:sz="4" w:space="0"/>
              <w:left w:val="single" w:color="auto" w:sz="4" w:space="0"/>
              <w:bottom w:val="single" w:color="auto" w:sz="4" w:space="0"/>
              <w:right w:val="single" w:color="auto" w:sz="4" w:space="0"/>
            </w:tcBorders>
            <w:tcW w:w="2110" w:type="dxa"/>
            <w:vAlign w:val="center"/>
            <w:vMerge w:val="continue"/>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34" w:type="dxa"/>
            <w:vAlign w:val="center"/>
            <w:vMerge w:val="continue"/>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ind w:firstLine="113"/>
              <w:jc w:val="both"/>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文件存储</w:t>
            </w:r>
            <w:r/>
          </w:p>
        </w:tc>
      </w:tr>
      <w:tr>
        <w:trPr>
          <w:jc w:val="center"/>
          <w:trHeight w:val="395"/>
        </w:trPr>
        <w:tc>
          <w:tcPr>
            <w:shd w:val="clear" w:color="auto" w:fill="auto"/>
            <w:tcBorders>
              <w:top w:val="none" w:color="000000" w:sz="4" w:space="0"/>
              <w:left w:val="single" w:color="auto" w:sz="4" w:space="0"/>
              <w:bottom w:val="single" w:color="auto" w:sz="4" w:space="0"/>
              <w:right w:val="single" w:color="auto" w:sz="4" w:space="0"/>
            </w:tcBorders>
            <w:tcW w:w="811" w:type="dxa"/>
            <w:vAlign w:val="center"/>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w:t>
            </w:r>
            <w:r/>
          </w:p>
        </w:tc>
        <w:tc>
          <w:tcPr>
            <w:tcBorders>
              <w:top w:val="none" w:color="000000" w:sz="4" w:space="0"/>
              <w:left w:val="single" w:color="auto" w:sz="4" w:space="0"/>
              <w:bottom w:val="single" w:color="auto" w:sz="4" w:space="0"/>
              <w:right w:val="single" w:color="auto" w:sz="4" w:space="0"/>
            </w:tcBorders>
            <w:tcW w:w="2110" w:type="dxa"/>
            <w:vAlign w:val="center"/>
            <w:vMerge w:val="continue"/>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34" w:type="dxa"/>
            <w:vAlign w:val="center"/>
            <w:vMerge w:val="continue"/>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ind w:firstLine="113"/>
              <w:jc w:val="both"/>
              <w:keepLines w:val="0"/>
              <w:keepNext w:val="0"/>
              <w:pageBreakBefore w:val="0"/>
              <w:spacing w:line="240" w:lineRule="auto"/>
              <w:widowControl/>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数据</w:t>
            </w:r>
            <w:r>
              <w:rPr>
                <w:rFonts w:hint="eastAsia" w:ascii="宋体" w:hAnsi="宋体" w:eastAsia="宋体" w:cs="宋体"/>
                <w:color w:val="000000" w:themeColor="text1"/>
                <w:sz w:val="24"/>
                <w:highlight w:val="none"/>
                <w14:textFill>
                  <w14:solidFill>
                    <w14:schemeClr w14:val="tx1"/>
                  </w14:solidFill>
                </w14:textFill>
              </w:rPr>
              <w:t xml:space="preserve">备份</w:t>
            </w:r>
            <w:r/>
          </w:p>
        </w:tc>
      </w:tr>
      <w:tr>
        <w:trPr>
          <w:jc w:val="center"/>
          <w:trHeight w:val="395"/>
        </w:trPr>
        <w:tc>
          <w:tcPr>
            <w:shd w:val="clear" w:color="auto" w:fill="auto"/>
            <w:tcBorders>
              <w:top w:val="none" w:color="000000" w:sz="4" w:space="0"/>
              <w:left w:val="single" w:color="auto" w:sz="4" w:space="0"/>
              <w:bottom w:val="single" w:color="auto" w:sz="4" w:space="0"/>
              <w:right w:val="single" w:color="auto" w:sz="4" w:space="0"/>
            </w:tcBorders>
            <w:tcW w:w="811" w:type="dxa"/>
            <w:vAlign w:val="center"/>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w:t>
            </w:r>
            <w:r/>
          </w:p>
        </w:tc>
        <w:tc>
          <w:tcPr>
            <w:tcBorders>
              <w:top w:val="none" w:color="000000" w:sz="4" w:space="0"/>
              <w:left w:val="single" w:color="auto" w:sz="4" w:space="0"/>
              <w:bottom w:val="single" w:color="auto" w:sz="4" w:space="0"/>
              <w:right w:val="single" w:color="auto" w:sz="4" w:space="0"/>
            </w:tcBorders>
            <w:tcW w:w="2110" w:type="dxa"/>
            <w:vAlign w:val="center"/>
            <w:vMerge w:val="continue"/>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1534" w:type="dxa"/>
            <w:vAlign w:val="center"/>
            <w:vMerge w:val="restart"/>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网络服务</w:t>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ind w:firstLine="113"/>
              <w:jc w:val="both"/>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弹性IP</w:t>
            </w:r>
            <w:r/>
          </w:p>
        </w:tc>
      </w:tr>
      <w:tr>
        <w:trPr>
          <w:jc w:val="center"/>
          <w:trHeight w:val="395"/>
        </w:trPr>
        <w:tc>
          <w:tcPr>
            <w:shd w:val="clear" w:color="auto" w:fill="auto"/>
            <w:tcBorders>
              <w:top w:val="none" w:color="000000" w:sz="4" w:space="0"/>
              <w:left w:val="single" w:color="auto" w:sz="4" w:space="0"/>
              <w:bottom w:val="single" w:color="auto" w:sz="4" w:space="0"/>
              <w:right w:val="single" w:color="auto" w:sz="4" w:space="0"/>
            </w:tcBorders>
            <w:tcW w:w="811" w:type="dxa"/>
            <w:vAlign w:val="center"/>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w:t>
            </w:r>
            <w:r/>
          </w:p>
        </w:tc>
        <w:tc>
          <w:tcPr>
            <w:tcBorders>
              <w:top w:val="none" w:color="000000" w:sz="4" w:space="0"/>
              <w:left w:val="single" w:color="auto" w:sz="4" w:space="0"/>
              <w:bottom w:val="single" w:color="auto" w:sz="4" w:space="0"/>
              <w:right w:val="single" w:color="auto" w:sz="4" w:space="0"/>
            </w:tcBorders>
            <w:tcW w:w="2110" w:type="dxa"/>
            <w:vAlign w:val="center"/>
            <w:vMerge w:val="continue"/>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34" w:type="dxa"/>
            <w:vAlign w:val="center"/>
            <w:vMerge w:val="continue"/>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ind w:firstLine="113"/>
              <w:jc w:val="both"/>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互联网带宽</w:t>
            </w:r>
            <w:r/>
          </w:p>
        </w:tc>
      </w:tr>
      <w:tr>
        <w:trPr>
          <w:jc w:val="center"/>
          <w:trHeight w:val="395"/>
        </w:trPr>
        <w:tc>
          <w:tcPr>
            <w:shd w:val="clear" w:color="auto" w:fill="auto"/>
            <w:tcBorders>
              <w:top w:val="none" w:color="000000" w:sz="4" w:space="0"/>
              <w:left w:val="single" w:color="auto" w:sz="4" w:space="0"/>
              <w:bottom w:val="single" w:color="auto" w:sz="4" w:space="0"/>
              <w:right w:val="single" w:color="auto" w:sz="4" w:space="0"/>
            </w:tcBorders>
            <w:tcW w:w="811" w:type="dxa"/>
            <w:vAlign w:val="center"/>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w:t>
            </w:r>
            <w:r/>
          </w:p>
        </w:tc>
        <w:tc>
          <w:tcPr>
            <w:tcBorders>
              <w:top w:val="none" w:color="000000" w:sz="4" w:space="0"/>
              <w:left w:val="single" w:color="auto" w:sz="4" w:space="0"/>
              <w:bottom w:val="single" w:color="auto" w:sz="4" w:space="0"/>
              <w:right w:val="single" w:color="auto" w:sz="4" w:space="0"/>
            </w:tcBorders>
            <w:tcW w:w="2110" w:type="dxa"/>
            <w:vAlign w:val="center"/>
            <w:vMerge w:val="continue"/>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34" w:type="dxa"/>
            <w:vAlign w:val="center"/>
            <w:vMerge w:val="continue"/>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ind w:firstLine="113"/>
              <w:jc w:val="both"/>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负载均衡</w:t>
            </w:r>
            <w:r/>
          </w:p>
        </w:tc>
      </w:tr>
      <w:tr>
        <w:trPr>
          <w:jc w:val="center"/>
          <w:trHeight w:val="395"/>
        </w:trPr>
        <w:tc>
          <w:tcPr>
            <w:shd w:val="clear" w:color="auto" w:fill="auto"/>
            <w:tcBorders>
              <w:top w:val="none" w:color="000000" w:sz="4" w:space="0"/>
              <w:left w:val="single" w:color="auto" w:sz="4" w:space="0"/>
              <w:bottom w:val="single" w:color="auto" w:sz="4" w:space="0"/>
              <w:right w:val="single" w:color="auto" w:sz="4" w:space="0"/>
            </w:tcBorders>
            <w:tcW w:w="811" w:type="dxa"/>
            <w:vAlign w:val="center"/>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w:t>
            </w:r>
            <w:r/>
          </w:p>
        </w:tc>
        <w:tc>
          <w:tcPr>
            <w:tcBorders>
              <w:top w:val="none" w:color="000000" w:sz="4" w:space="0"/>
              <w:left w:val="single" w:color="auto" w:sz="4" w:space="0"/>
              <w:bottom w:val="single" w:color="auto" w:sz="4" w:space="0"/>
              <w:right w:val="single" w:color="auto" w:sz="4" w:space="0"/>
            </w:tcBorders>
            <w:tcW w:w="2110" w:type="dxa"/>
            <w:vAlign w:val="center"/>
            <w:vMerge w:val="continue"/>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34" w:type="dxa"/>
            <w:vAlign w:val="center"/>
            <w:vMerge w:val="continue"/>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ind w:firstLine="113"/>
              <w:jc w:val="both"/>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NAT网关</w:t>
            </w:r>
            <w:r/>
          </w:p>
        </w:tc>
      </w:tr>
      <w:tr>
        <w:trPr>
          <w:jc w:val="center"/>
          <w:trHeight w:val="395"/>
        </w:trPr>
        <w:tc>
          <w:tcPr>
            <w:shd w:val="clear" w:color="auto" w:fill="auto"/>
            <w:tcBorders>
              <w:top w:val="none" w:color="000000" w:sz="4" w:space="0"/>
              <w:left w:val="single" w:color="auto" w:sz="4" w:space="0"/>
              <w:bottom w:val="single" w:color="auto" w:sz="4" w:space="0"/>
              <w:right w:val="single" w:color="auto" w:sz="4" w:space="0"/>
            </w:tcBorders>
            <w:tcW w:w="811" w:type="dxa"/>
            <w:vAlign w:val="center"/>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w:t>
            </w:r>
            <w:r/>
          </w:p>
        </w:tc>
        <w:tc>
          <w:tcPr>
            <w:tcBorders>
              <w:top w:val="none" w:color="000000" w:sz="4" w:space="0"/>
              <w:left w:val="single" w:color="auto" w:sz="4" w:space="0"/>
              <w:bottom w:val="single" w:color="auto" w:sz="4" w:space="0"/>
              <w:right w:val="single" w:color="auto" w:sz="4" w:space="0"/>
            </w:tcBorders>
            <w:tcW w:w="2110" w:type="dxa"/>
            <w:vAlign w:val="center"/>
            <w:vMerge w:val="continue"/>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1534" w:type="dxa"/>
            <w:vAlign w:val="center"/>
            <w:vMerge w:val="restart"/>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安全服务</w:t>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ind w:firstLine="113"/>
              <w:jc w:val="both"/>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主机安全</w:t>
            </w:r>
            <w:r/>
          </w:p>
        </w:tc>
      </w:tr>
      <w:tr>
        <w:trPr>
          <w:jc w:val="center"/>
          <w:trHeight w:val="395"/>
        </w:trPr>
        <w:tc>
          <w:tcPr>
            <w:shd w:val="clear" w:color="auto" w:fill="auto"/>
            <w:tcBorders>
              <w:top w:val="none" w:color="000000" w:sz="4" w:space="0"/>
              <w:left w:val="single" w:color="auto" w:sz="4" w:space="0"/>
              <w:bottom w:val="single" w:color="auto" w:sz="4" w:space="0"/>
              <w:right w:val="single" w:color="auto" w:sz="4" w:space="0"/>
            </w:tcBorders>
            <w:tcW w:w="811" w:type="dxa"/>
            <w:vAlign w:val="center"/>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w:t>
            </w:r>
            <w:r/>
          </w:p>
        </w:tc>
        <w:tc>
          <w:tcPr>
            <w:tcBorders>
              <w:top w:val="none" w:color="000000" w:sz="4" w:space="0"/>
              <w:left w:val="single" w:color="auto" w:sz="4" w:space="0"/>
              <w:bottom w:val="single" w:color="auto" w:sz="4" w:space="0"/>
              <w:right w:val="single" w:color="auto" w:sz="4" w:space="0"/>
            </w:tcBorders>
            <w:tcW w:w="2110" w:type="dxa"/>
            <w:vAlign w:val="center"/>
            <w:vMerge w:val="continue"/>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34" w:type="dxa"/>
            <w:vAlign w:val="center"/>
            <w:vMerge w:val="continue"/>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ind w:firstLine="113"/>
              <w:jc w:val="both"/>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Web应用防火墙</w:t>
            </w:r>
            <w:r/>
          </w:p>
        </w:tc>
      </w:tr>
      <w:tr>
        <w:trPr>
          <w:jc w:val="center"/>
          <w:trHeight w:val="395"/>
        </w:trPr>
        <w:tc>
          <w:tcPr>
            <w:shd w:val="clear" w:color="auto" w:fill="auto"/>
            <w:tcBorders>
              <w:top w:val="none" w:color="000000" w:sz="4" w:space="0"/>
              <w:left w:val="single" w:color="auto" w:sz="4" w:space="0"/>
              <w:bottom w:val="single" w:color="auto" w:sz="4" w:space="0"/>
              <w:right w:val="single" w:color="auto" w:sz="4" w:space="0"/>
            </w:tcBorders>
            <w:tcW w:w="811" w:type="dxa"/>
            <w:vAlign w:val="center"/>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16</w:t>
            </w:r>
            <w:r/>
          </w:p>
        </w:tc>
        <w:tc>
          <w:tcPr>
            <w:tcBorders>
              <w:top w:val="none" w:color="000000" w:sz="4" w:space="0"/>
              <w:left w:val="single" w:color="auto" w:sz="4" w:space="0"/>
              <w:bottom w:val="single" w:color="auto" w:sz="4" w:space="0"/>
              <w:right w:val="single" w:color="auto" w:sz="4" w:space="0"/>
            </w:tcBorders>
            <w:tcW w:w="2110" w:type="dxa"/>
            <w:vAlign w:val="center"/>
            <w:vMerge w:val="continue"/>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34" w:type="dxa"/>
            <w:vAlign w:val="center"/>
            <w:vMerge w:val="continue"/>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ind w:firstLine="113"/>
              <w:jc w:val="both"/>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日志审计</w:t>
            </w:r>
            <w:r/>
          </w:p>
        </w:tc>
      </w:tr>
      <w:tr>
        <w:trPr>
          <w:jc w:val="center"/>
          <w:trHeight w:val="395"/>
        </w:trPr>
        <w:tc>
          <w:tcPr>
            <w:shd w:val="clear" w:color="auto" w:fill="auto"/>
            <w:tcBorders>
              <w:top w:val="none" w:color="000000" w:sz="4" w:space="0"/>
              <w:left w:val="single" w:color="auto" w:sz="4" w:space="0"/>
              <w:bottom w:val="single" w:color="auto" w:sz="4" w:space="0"/>
              <w:right w:val="single" w:color="auto" w:sz="4" w:space="0"/>
            </w:tcBorders>
            <w:tcW w:w="811" w:type="dxa"/>
            <w:vAlign w:val="center"/>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w:t>
            </w:r>
            <w:r/>
          </w:p>
        </w:tc>
        <w:tc>
          <w:tcPr>
            <w:tcBorders>
              <w:top w:val="none" w:color="000000" w:sz="4" w:space="0"/>
              <w:left w:val="single" w:color="auto" w:sz="4" w:space="0"/>
              <w:bottom w:val="single" w:color="auto" w:sz="4" w:space="0"/>
              <w:right w:val="single" w:color="auto" w:sz="4" w:space="0"/>
            </w:tcBorders>
            <w:tcW w:w="2110" w:type="dxa"/>
            <w:vAlign w:val="center"/>
            <w:vMerge w:val="continue"/>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34" w:type="dxa"/>
            <w:vAlign w:val="center"/>
            <w:vMerge w:val="continue"/>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ind w:firstLine="113"/>
              <w:jc w:val="both"/>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密码应用安全</w:t>
            </w:r>
            <w:r/>
          </w:p>
        </w:tc>
      </w:tr>
      <w:tr>
        <w:trPr>
          <w:jc w:val="center"/>
          <w:trHeight w:val="395"/>
        </w:trPr>
        <w:tc>
          <w:tcPr>
            <w:shd w:val="clear" w:color="auto" w:fill="auto"/>
            <w:tcBorders>
              <w:top w:val="none" w:color="000000" w:sz="4" w:space="0"/>
              <w:left w:val="single" w:color="auto" w:sz="4" w:space="0"/>
              <w:bottom w:val="single" w:color="auto" w:sz="4" w:space="0"/>
              <w:right w:val="single" w:color="auto" w:sz="4" w:space="0"/>
            </w:tcBorders>
            <w:tcW w:w="811" w:type="dxa"/>
            <w:vAlign w:val="center"/>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w:t>
            </w:r>
            <w:r/>
          </w:p>
        </w:tc>
        <w:tc>
          <w:tcPr>
            <w:tcBorders>
              <w:top w:val="none" w:color="000000" w:sz="4" w:space="0"/>
              <w:left w:val="single" w:color="auto" w:sz="4" w:space="0"/>
              <w:bottom w:val="single" w:color="auto" w:sz="4" w:space="0"/>
              <w:right w:val="single" w:color="auto" w:sz="4" w:space="0"/>
            </w:tcBorders>
            <w:tcW w:w="2110" w:type="dxa"/>
            <w:vAlign w:val="center"/>
            <w:vMerge w:val="continue"/>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34" w:type="dxa"/>
            <w:vAlign w:val="center"/>
            <w:vMerge w:val="continue"/>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ind w:firstLine="113"/>
              <w:jc w:val="both"/>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数据安全</w:t>
            </w:r>
            <w:r/>
          </w:p>
        </w:tc>
      </w:tr>
      <w:tr>
        <w:trPr>
          <w:jc w:val="center"/>
          <w:trHeight w:val="395"/>
        </w:trPr>
        <w:tc>
          <w:tcPr>
            <w:shd w:val="clear" w:color="auto" w:fill="auto"/>
            <w:tcBorders>
              <w:top w:val="none" w:color="000000" w:sz="4" w:space="0"/>
              <w:left w:val="single" w:color="auto" w:sz="4" w:space="0"/>
              <w:bottom w:val="single" w:color="auto" w:sz="4" w:space="0"/>
              <w:right w:val="single" w:color="auto" w:sz="4" w:space="0"/>
            </w:tcBorders>
            <w:tcW w:w="811" w:type="dxa"/>
            <w:vAlign w:val="center"/>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19</w:t>
            </w:r>
            <w:r/>
          </w:p>
        </w:tc>
        <w:tc>
          <w:tcPr>
            <w:tcBorders>
              <w:top w:val="none" w:color="000000" w:sz="4" w:space="0"/>
              <w:left w:val="single" w:color="auto" w:sz="4" w:space="0"/>
              <w:bottom w:val="single" w:color="auto" w:sz="4" w:space="0"/>
              <w:right w:val="single" w:color="auto" w:sz="4" w:space="0"/>
            </w:tcBorders>
            <w:tcW w:w="2110" w:type="dxa"/>
            <w:vAlign w:val="center"/>
            <w:vMerge w:val="continue"/>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34" w:type="dxa"/>
            <w:vAlign w:val="center"/>
            <w:vMerge w:val="continue"/>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ind w:firstLine="113"/>
              <w:jc w:val="both"/>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堡垒机</w:t>
            </w:r>
            <w:r/>
          </w:p>
        </w:tc>
      </w:tr>
      <w:tr>
        <w:trPr>
          <w:jc w:val="center"/>
          <w:trHeight w:val="395"/>
        </w:trPr>
        <w:tc>
          <w:tcPr>
            <w:shd w:val="clear" w:color="auto" w:fill="auto"/>
            <w:tcBorders>
              <w:top w:val="none" w:color="000000" w:sz="4" w:space="0"/>
              <w:left w:val="single" w:color="auto" w:sz="4" w:space="0"/>
              <w:bottom w:val="single" w:color="auto" w:sz="4" w:space="0"/>
              <w:right w:val="single" w:color="auto" w:sz="4" w:space="0"/>
            </w:tcBorders>
            <w:tcW w:w="811" w:type="dxa"/>
            <w:vAlign w:val="center"/>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20</w:t>
            </w:r>
            <w:r/>
          </w:p>
        </w:tc>
        <w:tc>
          <w:tcPr>
            <w:tcBorders>
              <w:top w:val="none" w:color="000000" w:sz="4" w:space="0"/>
              <w:left w:val="single" w:color="auto" w:sz="4" w:space="0"/>
              <w:bottom w:val="single" w:color="auto" w:sz="4" w:space="0"/>
              <w:right w:val="single" w:color="auto" w:sz="4" w:space="0"/>
            </w:tcBorders>
            <w:tcW w:w="2110" w:type="dxa"/>
            <w:vAlign w:val="center"/>
            <w:vMerge w:val="continue"/>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34" w:type="dxa"/>
            <w:vAlign w:val="center"/>
            <w:vMerge w:val="continue"/>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ind w:firstLine="113"/>
              <w:jc w:val="both"/>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防火墙</w:t>
            </w:r>
            <w:r/>
          </w:p>
        </w:tc>
      </w:tr>
      <w:tr>
        <w:trPr>
          <w:jc w:val="center"/>
          <w:trHeight w:val="395"/>
        </w:trPr>
        <w:tc>
          <w:tcPr>
            <w:shd w:val="clear" w:color="auto" w:fill="auto"/>
            <w:tcBorders>
              <w:top w:val="none" w:color="000000" w:sz="4" w:space="0"/>
              <w:left w:val="single" w:color="auto" w:sz="4" w:space="0"/>
              <w:bottom w:val="single" w:color="auto" w:sz="4" w:space="0"/>
              <w:right w:val="single" w:color="auto" w:sz="4" w:space="0"/>
            </w:tcBorders>
            <w:tcW w:w="811" w:type="dxa"/>
            <w:vAlign w:val="center"/>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w:t>
            </w:r>
            <w:r/>
          </w:p>
        </w:tc>
        <w:tc>
          <w:tcPr>
            <w:shd w:val="clear" w:color="auto" w:fill="auto"/>
            <w:tcBorders>
              <w:top w:val="none" w:color="000000" w:sz="4" w:space="0"/>
              <w:left w:val="single" w:color="auto" w:sz="4" w:space="0"/>
              <w:bottom w:val="single" w:color="auto" w:sz="4" w:space="0"/>
              <w:right w:val="single" w:color="auto" w:sz="4" w:space="0"/>
            </w:tcBorders>
            <w:tcW w:w="2110" w:type="dxa"/>
            <w:vAlign w:val="center"/>
            <w:vMerge w:val="restart"/>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PaaS服务</w:t>
            </w:r>
            <w:r/>
          </w:p>
        </w:tc>
        <w:tc>
          <w:tcPr>
            <w:shd w:val="clear" w:color="auto" w:fill="auto"/>
            <w:tcBorders>
              <w:top w:val="none" w:color="000000" w:sz="4" w:space="0"/>
              <w:left w:val="single" w:color="auto" w:sz="4" w:space="0"/>
              <w:bottom w:val="single" w:color="auto" w:sz="4" w:space="0"/>
              <w:right w:val="single" w:color="auto" w:sz="4" w:space="0"/>
            </w:tcBorders>
            <w:tcW w:w="1534" w:type="dxa"/>
            <w:vAlign w:val="center"/>
            <w:vMerge w:val="restart"/>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云数据库</w:t>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ind w:firstLine="113"/>
              <w:jc w:val="both"/>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非国产化关系型数据库</w:t>
            </w:r>
            <w:r/>
          </w:p>
        </w:tc>
      </w:tr>
      <w:tr>
        <w:trPr>
          <w:jc w:val="center"/>
          <w:trHeight w:val="395"/>
        </w:trPr>
        <w:tc>
          <w:tcPr>
            <w:shd w:val="clear" w:color="auto" w:fill="auto"/>
            <w:tcBorders>
              <w:top w:val="none" w:color="000000" w:sz="4" w:space="0"/>
              <w:left w:val="single" w:color="auto" w:sz="4" w:space="0"/>
              <w:bottom w:val="single" w:color="auto" w:sz="4" w:space="0"/>
              <w:right w:val="single" w:color="auto" w:sz="4" w:space="0"/>
            </w:tcBorders>
            <w:tcW w:w="811" w:type="dxa"/>
            <w:vAlign w:val="center"/>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22</w:t>
            </w:r>
            <w:r/>
          </w:p>
        </w:tc>
        <w:tc>
          <w:tcPr>
            <w:tcBorders>
              <w:top w:val="none" w:color="000000" w:sz="4" w:space="0"/>
              <w:left w:val="single" w:color="auto" w:sz="4" w:space="0"/>
              <w:bottom w:val="single" w:color="auto" w:sz="4" w:space="0"/>
              <w:right w:val="single" w:color="auto" w:sz="4" w:space="0"/>
            </w:tcBorders>
            <w:tcW w:w="2110" w:type="dxa"/>
            <w:vAlign w:val="center"/>
            <w:vMerge w:val="continue"/>
            <w:textDirection w:val="lrTb"/>
            <w:noWrap w:val="false"/>
          </w:tcPr>
          <w:p>
            <w:pPr>
              <w:ind w:firstLine="113"/>
              <w:jc w:val="both"/>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34" w:type="dxa"/>
            <w:vAlign w:val="center"/>
            <w:vMerge w:val="continue"/>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ind w:firstLine="113"/>
              <w:jc w:val="both"/>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国产化关系型数据库</w:t>
            </w:r>
            <w:r/>
          </w:p>
        </w:tc>
      </w:tr>
      <w:tr>
        <w:trPr>
          <w:jc w:val="center"/>
          <w:trHeight w:val="395"/>
        </w:trPr>
        <w:tc>
          <w:tcPr>
            <w:shd w:val="clear" w:color="auto" w:fill="auto"/>
            <w:tcBorders>
              <w:top w:val="none" w:color="000000" w:sz="4" w:space="0"/>
              <w:left w:val="single" w:color="auto" w:sz="4" w:space="0"/>
              <w:bottom w:val="single" w:color="auto" w:sz="4" w:space="0"/>
              <w:right w:val="single" w:color="auto" w:sz="4" w:space="0"/>
            </w:tcBorders>
            <w:tcW w:w="811" w:type="dxa"/>
            <w:vAlign w:val="center"/>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23</w:t>
            </w:r>
            <w:r/>
          </w:p>
        </w:tc>
        <w:tc>
          <w:tcPr>
            <w:tcBorders>
              <w:top w:val="none" w:color="000000" w:sz="4" w:space="0"/>
              <w:left w:val="single" w:color="auto" w:sz="4" w:space="0"/>
              <w:bottom w:val="single" w:color="auto" w:sz="4" w:space="0"/>
              <w:right w:val="single" w:color="auto" w:sz="4" w:space="0"/>
            </w:tcBorders>
            <w:tcW w:w="2110" w:type="dxa"/>
            <w:vAlign w:val="center"/>
            <w:vMerge w:val="continue"/>
            <w:textDirection w:val="lrTb"/>
            <w:noWrap w:val="false"/>
          </w:tcPr>
          <w:p>
            <w:pPr>
              <w:ind w:firstLine="113"/>
              <w:jc w:val="both"/>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34" w:type="dxa"/>
            <w:vAlign w:val="center"/>
            <w:vMerge w:val="continue"/>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ind w:firstLine="113"/>
              <w:jc w:val="both"/>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分布式数据库</w:t>
            </w:r>
            <w:r/>
          </w:p>
        </w:tc>
      </w:tr>
      <w:tr>
        <w:trPr>
          <w:jc w:val="center"/>
          <w:trHeight w:val="395"/>
        </w:trPr>
        <w:tc>
          <w:tcPr>
            <w:shd w:val="clear" w:color="auto" w:fill="auto"/>
            <w:tcBorders>
              <w:top w:val="none" w:color="000000" w:sz="4" w:space="0"/>
              <w:left w:val="single" w:color="auto" w:sz="4" w:space="0"/>
              <w:bottom w:val="single" w:color="auto" w:sz="4" w:space="0"/>
              <w:right w:val="single" w:color="auto" w:sz="4" w:space="0"/>
            </w:tcBorders>
            <w:tcW w:w="811" w:type="dxa"/>
            <w:vAlign w:val="center"/>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24</w:t>
            </w:r>
            <w:r/>
          </w:p>
        </w:tc>
        <w:tc>
          <w:tcPr>
            <w:tcBorders>
              <w:top w:val="none" w:color="000000" w:sz="4" w:space="0"/>
              <w:left w:val="single" w:color="auto" w:sz="4" w:space="0"/>
              <w:bottom w:val="single" w:color="auto" w:sz="4" w:space="0"/>
              <w:right w:val="single" w:color="auto" w:sz="4" w:space="0"/>
            </w:tcBorders>
            <w:tcW w:w="2110" w:type="dxa"/>
            <w:vAlign w:val="center"/>
            <w:vMerge w:val="continue"/>
            <w:textDirection w:val="lrTb"/>
            <w:noWrap w:val="false"/>
          </w:tcPr>
          <w:p>
            <w:pPr>
              <w:ind w:firstLine="113"/>
              <w:jc w:val="both"/>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1534" w:type="dxa"/>
            <w:vAlign w:val="center"/>
            <w:vMerge w:val="continue"/>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ind w:firstLine="113"/>
              <w:jc w:val="both"/>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非关系型数据库</w:t>
            </w:r>
            <w:r/>
          </w:p>
        </w:tc>
      </w:tr>
      <w:tr>
        <w:trPr>
          <w:jc w:val="center"/>
          <w:trHeight w:val="428"/>
        </w:trPr>
        <w:tc>
          <w:tcPr>
            <w:shd w:val="clear" w:color="auto" w:fill="auto"/>
            <w:tcBorders>
              <w:top w:val="none" w:color="000000" w:sz="4" w:space="0"/>
              <w:left w:val="single" w:color="auto" w:sz="4" w:space="0"/>
              <w:bottom w:val="single" w:color="auto" w:sz="4" w:space="0"/>
              <w:right w:val="single" w:color="auto" w:sz="4" w:space="0"/>
            </w:tcBorders>
            <w:tcW w:w="811" w:type="dxa"/>
            <w:vAlign w:val="center"/>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25</w:t>
            </w:r>
            <w:r/>
          </w:p>
        </w:tc>
        <w:tc>
          <w:tcPr>
            <w:tcBorders>
              <w:top w:val="none" w:color="000000" w:sz="4" w:space="0"/>
              <w:left w:val="single" w:color="auto" w:sz="4" w:space="0"/>
              <w:bottom w:val="single" w:color="auto" w:sz="4" w:space="0"/>
              <w:right w:val="single" w:color="auto" w:sz="4" w:space="0"/>
            </w:tcBorders>
            <w:tcW w:w="2110" w:type="dxa"/>
            <w:vAlign w:val="center"/>
            <w:vMerge w:val="continue"/>
            <w:textDirection w:val="lrTb"/>
            <w:noWrap w:val="false"/>
          </w:tcPr>
          <w:p>
            <w:pPr>
              <w:ind w:firstLine="113"/>
              <w:jc w:val="both"/>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1534" w:type="dxa"/>
            <w:vAlign w:val="center"/>
            <w:textDirection w:val="lrTb"/>
            <w:noWrap w:val="false"/>
          </w:tcPr>
          <w:p>
            <w:pPr>
              <w:ind w:firstLine="113"/>
              <w:jc w:val="center"/>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中间件</w:t>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ind w:firstLine="113"/>
              <w:jc w:val="both"/>
              <w:keepLines w:val="0"/>
              <w:keepNext w:val="0"/>
              <w:pageBreakBefore w:val="0"/>
              <w:spacing w:line="24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分布式缓存服务</w:t>
            </w:r>
            <w:r/>
          </w:p>
        </w:tc>
      </w:tr>
    </w:tbl>
    <w:p>
      <w:pPr>
        <w:ind w:firstLine="482"/>
        <w:jc w:val="left"/>
        <w:spacing w:line="360" w:lineRule="auto"/>
        <w:rPr>
          <w:rFonts w:hint="eastAsia" w:ascii="宋体" w:hAnsi="宋体" w:eastAsia="宋体" w:cs="宋体"/>
          <w:b/>
          <w:bCs/>
          <w:strike w:val="0"/>
          <w:color w:val="000000" w:themeColor="text1"/>
          <w:sz w:val="24"/>
          <w:szCs w:val="24"/>
          <w:highlight w:val="none"/>
          <w:lang w:eastAsia="zh-CN"/>
          <w14:textFill>
            <w14:solidFill>
              <w14:schemeClr w14:val="tx1"/>
            </w14:solidFill>
          </w14:textFill>
        </w:rPr>
        <w:outlineLvl w:val="1"/>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以上资源需满足采购方实际需求。</w:t>
      </w:r>
      <w:r/>
    </w:p>
    <w:p>
      <w:pPr>
        <w:ind w:right="0" w:firstLine="482"/>
        <w:keepLines w:val="0"/>
        <w:keepNext w:val="0"/>
        <w:pageBreakBefore w:val="0"/>
        <w:spacing w:after="0" w:line="440" w:lineRule="exact"/>
        <w:widowControl/>
        <w:rPr>
          <w:rFonts w:hint="eastAsia" w:ascii="宋体" w:hAnsi="宋体" w:eastAsia="宋体" w:cs="宋体"/>
          <w:b/>
          <w:bCs/>
          <w:strike w:val="0"/>
          <w:color w:val="000000" w:themeColor="text1"/>
          <w:sz w:val="24"/>
          <w:szCs w:val="24"/>
          <w:highlight w:val="none"/>
          <w14:textFill>
            <w14:solidFill>
              <w14:schemeClr w14:val="tx1"/>
            </w14:solidFill>
          </w14:textFill>
        </w:rPr>
        <w:outlineLvl w:val="9"/>
      </w:pPr>
      <w:r>
        <w:rPr>
          <w:rFonts w:hint="eastAsia" w:ascii="宋体" w:hAnsi="宋体" w:eastAsia="宋体" w:cs="宋体"/>
          <w:b/>
          <w:bCs/>
          <w:strike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strike w:val="0"/>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
          <w:bCs/>
          <w:strike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strike w:val="0"/>
          <w:color w:val="000000" w:themeColor="text1"/>
          <w:sz w:val="24"/>
          <w:szCs w:val="24"/>
          <w:highlight w:val="none"/>
          <w14:textFill>
            <w14:solidFill>
              <w14:schemeClr w14:val="tx1"/>
            </w14:solidFill>
          </w14:textFill>
        </w:rPr>
        <w:t xml:space="preserve">核心服务内容</w:t>
      </w:r>
      <w:r/>
    </w:p>
    <w:p>
      <w:pPr>
        <w:ind w:right="0" w:firstLine="480"/>
        <w:keepLines w:val="0"/>
        <w:keepNext w:val="0"/>
        <w:pageBreakBefore w:val="0"/>
        <w:spacing w:after="0" w:line="440" w:lineRule="exact"/>
        <w:widowControl/>
        <w:rPr>
          <w:rFonts w:hint="eastAsia" w:ascii="宋体" w:hAnsi="宋体" w:eastAsia="宋体" w:cs="宋体"/>
          <w:b w:val="0"/>
          <w:bCs w:val="0"/>
          <w:strike w:val="0"/>
          <w:color w:val="000000" w:themeColor="text1"/>
          <w:sz w:val="24"/>
          <w:szCs w:val="24"/>
          <w:highlight w:val="none"/>
          <w14:textFill>
            <w14:solidFill>
              <w14:schemeClr w14:val="tx1"/>
            </w14:solidFill>
          </w14:textFill>
        </w:rPr>
        <w:outlineLvl w:val="9"/>
      </w:pPr>
      <w:r>
        <w:rPr>
          <w:rFonts w:hint="eastAsia" w:ascii="宋体" w:hAnsi="宋体" w:eastAsia="宋体" w:cs="宋体"/>
          <w:b w:val="0"/>
          <w:bCs w:val="0"/>
          <w:strike w:val="0"/>
          <w:color w:val="000000" w:themeColor="text1"/>
          <w:sz w:val="24"/>
          <w:szCs w:val="24"/>
          <w:highlight w:val="none"/>
          <w14:textFill>
            <w14:solidFill>
              <w14:schemeClr w14:val="tx1"/>
            </w14:solidFill>
          </w14:textFill>
        </w:rPr>
        <w:t xml:space="preserve">各云服务项报价不得高于《云平台服务条目清单及价格》中的价格标准，且由于本项目遵循</w:t>
      </w:r>
      <w:r>
        <w:rPr>
          <w:rFonts w:hint="eastAsia" w:ascii="宋体" w:hAnsi="宋体" w:eastAsia="宋体" w:cs="宋体"/>
          <w:b w:val="0"/>
          <w:bCs w:val="0"/>
          <w:strike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strike w:val="0"/>
          <w:color w:val="000000" w:themeColor="text1"/>
          <w:sz w:val="24"/>
          <w:szCs w:val="24"/>
          <w:highlight w:val="none"/>
          <w14:textFill>
            <w14:solidFill>
              <w14:schemeClr w14:val="tx1"/>
            </w14:solidFill>
          </w14:textFill>
        </w:rPr>
        <w:t xml:space="preserve">先用后付、按实结算</w:t>
      </w:r>
      <w:r>
        <w:rPr>
          <w:rFonts w:hint="eastAsia" w:ascii="宋体" w:hAnsi="宋体" w:eastAsia="宋体" w:cs="宋体"/>
          <w:b w:val="0"/>
          <w:bCs w:val="0"/>
          <w:strike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strike w:val="0"/>
          <w:color w:val="000000" w:themeColor="text1"/>
          <w:sz w:val="24"/>
          <w:szCs w:val="24"/>
          <w:highlight w:val="none"/>
          <w14:textFill>
            <w14:solidFill>
              <w14:schemeClr w14:val="tx1"/>
            </w14:solidFill>
          </w14:textFill>
        </w:rPr>
        <w:t xml:space="preserve">的原则，根据云</w:t>
      </w:r>
      <w:r>
        <w:rPr>
          <w:rFonts w:hint="eastAsia" w:ascii="宋体" w:hAnsi="宋体" w:eastAsia="宋体" w:cs="宋体"/>
          <w:b w:val="0"/>
          <w:bCs w:val="0"/>
          <w:strike w:val="0"/>
          <w:color w:val="000000" w:themeColor="text1"/>
          <w:sz w:val="24"/>
          <w:szCs w:val="24"/>
          <w:highlight w:val="none"/>
          <w:lang w:val="en-US" w:eastAsia="zh-CN"/>
          <w14:textFill>
            <w14:solidFill>
              <w14:schemeClr w14:val="tx1"/>
            </w14:solidFill>
          </w14:textFill>
        </w:rPr>
        <w:t xml:space="preserve">平台</w:t>
      </w:r>
      <w:r>
        <w:rPr>
          <w:rFonts w:hint="eastAsia" w:ascii="宋体" w:hAnsi="宋体" w:eastAsia="宋体" w:cs="宋体"/>
          <w:b w:val="0"/>
          <w:bCs w:val="0"/>
          <w:strike w:val="0"/>
          <w:color w:val="000000" w:themeColor="text1"/>
          <w:sz w:val="24"/>
          <w:szCs w:val="24"/>
          <w:highlight w:val="none"/>
          <w14:textFill>
            <w14:solidFill>
              <w14:schemeClr w14:val="tx1"/>
            </w14:solidFill>
          </w14:textFill>
        </w:rPr>
        <w:t xml:space="preserve">实际使用量进行计费，云</w:t>
      </w:r>
      <w:r>
        <w:rPr>
          <w:rFonts w:hint="eastAsia" w:ascii="宋体" w:hAnsi="宋体" w:eastAsia="宋体" w:cs="宋体"/>
          <w:b w:val="0"/>
          <w:bCs w:val="0"/>
          <w:strike w:val="0"/>
          <w:color w:val="000000" w:themeColor="text1"/>
          <w:sz w:val="24"/>
          <w:szCs w:val="24"/>
          <w:highlight w:val="none"/>
          <w:lang w:val="en-US" w:eastAsia="zh-CN"/>
          <w14:textFill>
            <w14:solidFill>
              <w14:schemeClr w14:val="tx1"/>
            </w14:solidFill>
          </w14:textFill>
        </w:rPr>
        <w:t xml:space="preserve">平台服务</w:t>
      </w:r>
      <w:r>
        <w:rPr>
          <w:rFonts w:hint="eastAsia" w:ascii="宋体" w:hAnsi="宋体" w:eastAsia="宋体" w:cs="宋体"/>
          <w:b w:val="0"/>
          <w:bCs w:val="0"/>
          <w:strike w:val="0"/>
          <w:color w:val="000000" w:themeColor="text1"/>
          <w:sz w:val="24"/>
          <w:szCs w:val="24"/>
          <w:highlight w:val="none"/>
          <w14:textFill>
            <w14:solidFill>
              <w14:schemeClr w14:val="tx1"/>
            </w14:solidFill>
          </w14:textFill>
        </w:rPr>
        <w:t xml:space="preserve">采购数量按需提供，服务期</w:t>
      </w:r>
      <w:r>
        <w:rPr>
          <w:rFonts w:hint="eastAsia" w:ascii="宋体" w:hAnsi="宋体" w:eastAsia="宋体" w:cs="宋体"/>
          <w:b w:val="0"/>
          <w:bCs w:val="0"/>
          <w:strike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val="0"/>
          <w:strike w:val="0"/>
          <w:color w:val="000000" w:themeColor="text1"/>
          <w:sz w:val="24"/>
          <w:szCs w:val="24"/>
          <w:highlight w:val="none"/>
          <w14:textFill>
            <w14:solidFill>
              <w14:schemeClr w14:val="tx1"/>
            </w14:solidFill>
          </w14:textFill>
        </w:rPr>
        <w:t xml:space="preserve">年</w:t>
      </w:r>
      <w:r>
        <w:rPr>
          <w:rFonts w:hint="eastAsia" w:ascii="宋体" w:hAnsi="宋体" w:eastAsia="宋体" w:cs="宋体"/>
          <w:b w:val="0"/>
          <w:bCs w:val="0"/>
          <w:strike w:val="0"/>
          <w:color w:val="000000" w:themeColor="text1"/>
          <w:sz w:val="24"/>
          <w:szCs w:val="24"/>
          <w:highlight w:val="none"/>
          <w:lang w:eastAsia="zh-CN"/>
          <w14:textFill>
            <w14:solidFill>
              <w14:schemeClr w14:val="tx1"/>
            </w14:solidFill>
          </w14:textFill>
        </w:rPr>
        <w:t xml:space="preserve">。</w:t>
      </w:r>
      <w:r/>
    </w:p>
    <w:p>
      <w:pPr>
        <w:pStyle w:val="1112"/>
        <w:ind w:left="0" w:firstLine="482"/>
        <w:jc w:val="left"/>
        <w:keepLines w:val="0"/>
        <w:keepNext w:val="0"/>
        <w:pageBreakBefore w:val="0"/>
        <w:spacing w:line="440" w:lineRule="exact"/>
        <w:rPr>
          <w:rFonts w:hint="eastAsia" w:eastAsia="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strike w:val="0"/>
          <w:color w:val="000000" w:themeColor="text1"/>
          <w:sz w:val="24"/>
          <w:szCs w:val="24"/>
          <w:highlight w:val="none"/>
          <w14:textFill>
            <w14:solidFill>
              <w14:schemeClr w14:val="tx1"/>
            </w14:solidFill>
          </w14:textFill>
        </w:rPr>
        <w:t xml:space="preserve">云平台服务条目清单及</w:t>
      </w: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价格</w:t>
      </w:r>
      <w:r>
        <w:rPr>
          <w:rFonts w:hint="eastAsia" w:ascii="宋体" w:hAnsi="宋体" w:eastAsia="宋体" w:cs="宋体"/>
          <w:b/>
          <w:bCs/>
          <w:strike w:val="0"/>
          <w:color w:val="000000" w:themeColor="text1"/>
          <w:sz w:val="24"/>
          <w:szCs w:val="24"/>
          <w:highlight w:val="none"/>
          <w:lang w:eastAsia="zh-CN"/>
          <w14:textFill>
            <w14:solidFill>
              <w14:schemeClr w14:val="tx1"/>
            </w14:solidFill>
          </w14:textFill>
        </w:rPr>
        <w:t xml:space="preserve">：</w:t>
      </w:r>
      <w:r/>
    </w:p>
    <w:tbl>
      <w:tblPr>
        <w:tblStyle w:val="1105"/>
        <w:tblW w:w="887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73"/>
        <w:gridCol w:w="876"/>
        <w:gridCol w:w="876"/>
        <w:gridCol w:w="1188"/>
        <w:gridCol w:w="1017"/>
        <w:gridCol w:w="2206"/>
        <w:gridCol w:w="816"/>
        <w:gridCol w:w="1124"/>
      </w:tblGrid>
      <w:tr>
        <w:trPr>
          <w:jc w:val="center"/>
          <w:trHeight w:val="0"/>
          <w:tblHeader/>
        </w:trPr>
        <w:tc>
          <w:tcPr>
            <w:shd w:val="clear" w:color="auto" w:fill="d7d7d7" w:themeFill="background1" w:themeFillShade="D8"/>
            <w:tcW w:w="773"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第一级服务</w:t>
            </w:r>
            <w:r/>
          </w:p>
        </w:tc>
        <w:tc>
          <w:tcPr>
            <w:shd w:val="clear" w:color="auto" w:fill="d7d7d7" w:themeFill="background1" w:themeFillShade="D8"/>
            <w:tcW w:w="87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第二级服务</w:t>
            </w:r>
            <w:r/>
          </w:p>
        </w:tc>
        <w:tc>
          <w:tcPr>
            <w:shd w:val="clear" w:color="auto" w:fill="d7d7d7" w:themeFill="background1" w:themeFillShade="D8"/>
            <w:tcW w:w="87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第三级服务</w:t>
            </w:r>
            <w:r/>
          </w:p>
        </w:tc>
        <w:tc>
          <w:tcPr>
            <w:shd w:val="clear" w:color="auto" w:fill="d7d7d7" w:themeFill="background1" w:themeFillShade="D8"/>
            <w:tcW w:w="1188"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第四级服  务</w:t>
            </w:r>
            <w:r/>
          </w:p>
        </w:tc>
        <w:tc>
          <w:tcPr>
            <w:shd w:val="clear" w:color="auto" w:fill="d7d7d7" w:themeFill="background1" w:themeFillShade="D8"/>
            <w:tcW w:w="1017"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计费项</w:t>
            </w:r>
            <w:r/>
          </w:p>
        </w:tc>
        <w:tc>
          <w:tcPr>
            <w:shd w:val="clear" w:color="auto" w:fill="d7d7d7" w:themeFill="background1" w:themeFillShade="D8"/>
            <w:tcW w:w="220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服务说明</w:t>
            </w:r>
            <w:r/>
          </w:p>
        </w:tc>
        <w:tc>
          <w:tcPr>
            <w:shd w:val="clear" w:color="auto" w:fill="d7d7d7" w:themeFill="background1" w:themeFillShade="D8"/>
            <w:tcW w:w="81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规格</w:t>
            </w:r>
            <w:r/>
          </w:p>
        </w:tc>
        <w:tc>
          <w:tcPr>
            <w:shd w:val="clear" w:color="auto" w:fill="d7d7d7" w:themeFill="background1" w:themeFillShade="D8"/>
            <w:tcW w:w="1124"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最高限价（元/年）</w:t>
            </w:r>
            <w:r/>
          </w:p>
        </w:tc>
      </w:tr>
      <w:tr>
        <w:trPr>
          <w:jc w:val="center"/>
          <w:trHeight w:val="0"/>
        </w:trPr>
        <w:tc>
          <w:tcPr>
            <w:shd w:val="clear" w:color="auto" w:fill="auto"/>
            <w:tcW w:w="773" w:type="dxa"/>
            <w:vAlign w:val="center"/>
            <w:vMerge w:val="restart"/>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一、基础设施服务</w:t>
            </w:r>
            <w:r/>
          </w:p>
        </w:tc>
        <w:tc>
          <w:tcPr>
            <w:shd w:val="clear" w:color="auto" w:fill="auto"/>
            <w:tcW w:w="876" w:type="dxa"/>
            <w:vAlign w:val="center"/>
            <w:vMerge w:val="restart"/>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计算服务</w:t>
            </w:r>
            <w:r/>
          </w:p>
        </w:tc>
        <w:tc>
          <w:tcPr>
            <w:shd w:val="clear" w:color="auto" w:fill="auto"/>
            <w:tcW w:w="876" w:type="dxa"/>
            <w:vAlign w:val="center"/>
            <w:vMerge w:val="restart"/>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弹性云服务器</w:t>
            </w:r>
            <w:r/>
          </w:p>
        </w:tc>
        <w:tc>
          <w:tcPr>
            <w:shd w:val="clear" w:color="auto" w:fill="auto"/>
            <w:tcW w:w="1188" w:type="dxa"/>
            <w:vAlign w:val="center"/>
            <w:vMerge w:val="restart"/>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弹性云服务器（通用型）</w:t>
            </w:r>
            <w:r/>
          </w:p>
        </w:tc>
        <w:tc>
          <w:tcPr>
            <w:shd w:val="clear" w:color="auto" w:fill="auto"/>
            <w:tcW w:w="1017"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vCPU数量</w:t>
            </w:r>
            <w:r/>
          </w:p>
        </w:tc>
        <w:tc>
          <w:tcPr>
            <w:shd w:val="clear" w:color="auto" w:fill="auto"/>
            <w:tcW w:w="2206"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提供弹性可伸缩的云计算资源服务。</w:t>
            </w:r>
            <w:r/>
          </w:p>
        </w:tc>
        <w:tc>
          <w:tcPr>
            <w:shd w:val="clear" w:color="auto" w:fill="auto"/>
            <w:tcW w:w="81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1核</w:t>
            </w:r>
            <w:r/>
          </w:p>
        </w:tc>
        <w:tc>
          <w:tcPr>
            <w:shd w:val="clear" w:color="auto" w:fill="auto"/>
            <w:tcW w:w="1124" w:type="dxa"/>
            <w:vAlign w:val="center"/>
            <w:textDirection w:val="lrTb"/>
            <w:noWrap w:val="false"/>
          </w:tcPr>
          <w:p>
            <w:pPr>
              <w:ind w:left="0" w:right="0"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230</w:t>
            </w:r>
            <w:r/>
          </w:p>
        </w:tc>
      </w:tr>
      <w:tr>
        <w:trPr>
          <w:jc w:val="center"/>
          <w:trHeight w:val="728"/>
        </w:trPr>
        <w:tc>
          <w:tcPr>
            <w:shd w:val="clear" w:color="auto" w:fill="auto"/>
            <w:tcW w:w="773"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outlineLvl w:val="9"/>
            </w:pPr>
            <w:r>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r>
            <w:r/>
          </w:p>
        </w:tc>
        <w:tc>
          <w:tcPr>
            <w:shd w:val="clear" w:color="auto" w:fill="auto"/>
            <w:tcW w:w="876"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W w:w="876"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W w:w="1188"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W w:w="1017"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内存大小</w:t>
            </w:r>
            <w:r/>
          </w:p>
        </w:tc>
        <w:tc>
          <w:tcPr>
            <w:shd w:val="clear" w:color="auto" w:fill="auto"/>
            <w:tcW w:w="2206"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提供弹性可伸缩的内存资源服务。</w:t>
            </w:r>
            <w:r/>
          </w:p>
        </w:tc>
        <w:tc>
          <w:tcPr>
            <w:shd w:val="clear" w:color="auto" w:fill="auto"/>
            <w:tcW w:w="81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1G</w:t>
            </w:r>
            <w:r/>
          </w:p>
        </w:tc>
        <w:tc>
          <w:tcPr>
            <w:shd w:val="clear" w:color="auto" w:fill="auto"/>
            <w:tcW w:w="1124" w:type="dxa"/>
            <w:vAlign w:val="center"/>
            <w:textDirection w:val="lrTb"/>
            <w:noWrap w:val="false"/>
          </w:tcPr>
          <w:p>
            <w:pPr>
              <w:ind w:left="0" w:right="0"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160</w:t>
            </w:r>
            <w:r/>
          </w:p>
        </w:tc>
      </w:tr>
      <w:tr>
        <w:trPr>
          <w:jc w:val="center"/>
          <w:trHeight w:val="0"/>
        </w:trPr>
        <w:tc>
          <w:tcPr>
            <w:shd w:val="clear" w:color="auto" w:fill="auto"/>
            <w:tcW w:w="773"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outlineLvl w:val="9"/>
            </w:pPr>
            <w:r>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r>
            <w:r/>
          </w:p>
        </w:tc>
        <w:tc>
          <w:tcPr>
            <w:shd w:val="clear" w:color="auto" w:fill="auto"/>
            <w:tcW w:w="876"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W w:w="876"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W w:w="1188" w:type="dxa"/>
            <w:vAlign w:val="center"/>
            <w:vMerge w:val="restart"/>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弹性云服务器（国产型）</w:t>
            </w:r>
            <w:r/>
          </w:p>
        </w:tc>
        <w:tc>
          <w:tcPr>
            <w:shd w:val="clear" w:color="auto" w:fill="auto"/>
            <w:tcW w:w="1017"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vCPU数量</w:t>
            </w:r>
            <w:r/>
          </w:p>
        </w:tc>
        <w:tc>
          <w:tcPr>
            <w:shd w:val="clear" w:color="auto" w:fill="auto"/>
            <w:tcW w:w="2206"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提供弹性可伸缩的国产云计算资源服务。</w:t>
            </w:r>
            <w:r/>
          </w:p>
        </w:tc>
        <w:tc>
          <w:tcPr>
            <w:shd w:val="clear" w:color="auto" w:fill="auto"/>
            <w:tcW w:w="81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1核</w:t>
            </w:r>
            <w:r/>
          </w:p>
        </w:tc>
        <w:tc>
          <w:tcPr>
            <w:shd w:val="clear" w:color="auto" w:fill="auto"/>
            <w:tcW w:w="1124" w:type="dxa"/>
            <w:vAlign w:val="center"/>
            <w:textDirection w:val="lrTb"/>
            <w:noWrap w:val="false"/>
          </w:tcPr>
          <w:p>
            <w:pPr>
              <w:ind w:left="0" w:right="0"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230</w:t>
            </w:r>
            <w:r/>
          </w:p>
        </w:tc>
      </w:tr>
      <w:tr>
        <w:trPr>
          <w:jc w:val="center"/>
          <w:trHeight w:val="90"/>
        </w:trPr>
        <w:tc>
          <w:tcPr>
            <w:shd w:val="clear" w:color="auto" w:fill="auto"/>
            <w:tcW w:w="773"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outlineLvl w:val="9"/>
            </w:pPr>
            <w:r>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r>
            <w:r/>
          </w:p>
        </w:tc>
        <w:tc>
          <w:tcPr>
            <w:shd w:val="clear" w:color="auto" w:fill="auto"/>
            <w:tcW w:w="876"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W w:w="876"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W w:w="1188"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W w:w="1017"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内存大小</w:t>
            </w:r>
            <w:r/>
          </w:p>
        </w:tc>
        <w:tc>
          <w:tcPr>
            <w:shd w:val="clear" w:color="auto" w:fill="auto"/>
            <w:tcW w:w="2206"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提供弹性可伸缩的国产内存资源服务。</w:t>
            </w:r>
            <w:r/>
          </w:p>
        </w:tc>
        <w:tc>
          <w:tcPr>
            <w:shd w:val="clear" w:color="auto" w:fill="auto"/>
            <w:tcW w:w="81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1G</w:t>
            </w:r>
            <w:r/>
          </w:p>
        </w:tc>
        <w:tc>
          <w:tcPr>
            <w:shd w:val="clear" w:color="auto" w:fill="auto"/>
            <w:tcW w:w="1124" w:type="dxa"/>
            <w:vAlign w:val="center"/>
            <w:textDirection w:val="lrTb"/>
            <w:noWrap w:val="false"/>
          </w:tcPr>
          <w:p>
            <w:pPr>
              <w:ind w:left="0" w:right="0"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160</w:t>
            </w:r>
            <w:r/>
          </w:p>
        </w:tc>
      </w:tr>
      <w:tr>
        <w:trPr>
          <w:jc w:val="center"/>
          <w:trHeight w:val="0"/>
        </w:trPr>
        <w:tc>
          <w:tcPr>
            <w:shd w:val="clear" w:color="auto" w:fill="auto"/>
            <w:tcW w:w="773"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outlineLvl w:val="9"/>
            </w:pPr>
            <w:r>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r>
            <w:r/>
          </w:p>
        </w:tc>
        <w:tc>
          <w:tcPr>
            <w:shd w:val="clear" w:color="auto" w:fill="auto"/>
            <w:tcW w:w="876" w:type="dxa"/>
            <w:vAlign w:val="center"/>
            <w:vMerge w:val="restart"/>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存储服务</w:t>
            </w:r>
            <w:r/>
          </w:p>
        </w:tc>
        <w:tc>
          <w:tcPr>
            <w:shd w:val="clear" w:color="auto" w:fill="auto"/>
            <w:tcW w:w="876" w:type="dxa"/>
            <w:vAlign w:val="center"/>
            <w:vMerge w:val="restart"/>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块存储</w:t>
            </w:r>
            <w:r/>
          </w:p>
        </w:tc>
        <w:tc>
          <w:tcPr>
            <w:shd w:val="clear" w:color="auto" w:fill="auto"/>
            <w:tcW w:w="1188"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普通IO块存储（SATA块存储）</w:t>
            </w:r>
            <w:r/>
          </w:p>
        </w:tc>
        <w:tc>
          <w:tcPr>
            <w:shd w:val="clear" w:color="auto" w:fill="auto"/>
            <w:tcW w:w="1017"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存储容量</w:t>
            </w:r>
            <w:r/>
          </w:p>
        </w:tc>
        <w:tc>
          <w:tcPr>
            <w:shd w:val="clear" w:color="auto" w:fill="auto"/>
            <w:tcW w:w="2206"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SATA块存储。</w:t>
            </w:r>
            <w:r/>
          </w:p>
        </w:tc>
        <w:tc>
          <w:tcPr>
            <w:shd w:val="clear" w:color="auto" w:fill="auto"/>
            <w:tcW w:w="81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1G</w:t>
            </w:r>
            <w:r/>
          </w:p>
        </w:tc>
        <w:tc>
          <w:tcPr>
            <w:shd w:val="clear" w:color="auto" w:fill="auto"/>
            <w:tcW w:w="1124"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0.4</w:t>
            </w:r>
            <w:r/>
          </w:p>
        </w:tc>
      </w:tr>
      <w:tr>
        <w:trPr>
          <w:jc w:val="center"/>
          <w:trHeight w:val="0"/>
        </w:trPr>
        <w:tc>
          <w:tcPr>
            <w:shd w:val="clear" w:color="auto" w:fill="auto"/>
            <w:tcW w:w="773"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outlineLvl w:val="9"/>
            </w:pPr>
            <w:r>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r>
            <w:r/>
          </w:p>
        </w:tc>
        <w:tc>
          <w:tcPr>
            <w:shd w:val="clear" w:color="auto" w:fill="auto"/>
            <w:tcW w:w="876"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W w:w="876"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W w:w="1188"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超高IO块存储（SSD块存储）</w:t>
            </w:r>
            <w:r/>
          </w:p>
        </w:tc>
        <w:tc>
          <w:tcPr>
            <w:shd w:val="clear" w:color="auto" w:fill="auto"/>
            <w:tcW w:w="1017"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存储容量</w:t>
            </w:r>
            <w:r/>
          </w:p>
        </w:tc>
        <w:tc>
          <w:tcPr>
            <w:shd w:val="clear" w:color="auto" w:fill="auto"/>
            <w:tcW w:w="2206"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SSD块存储。</w:t>
            </w:r>
            <w:r/>
          </w:p>
        </w:tc>
        <w:tc>
          <w:tcPr>
            <w:shd w:val="clear" w:color="auto" w:fill="auto"/>
            <w:tcW w:w="81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1G</w:t>
            </w:r>
            <w:r/>
          </w:p>
        </w:tc>
        <w:tc>
          <w:tcPr>
            <w:shd w:val="clear" w:color="auto" w:fill="auto"/>
            <w:tcW w:w="1124"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r>
      <w:tr>
        <w:trPr>
          <w:jc w:val="center"/>
          <w:trHeight w:val="0"/>
        </w:trPr>
        <w:tc>
          <w:tcPr>
            <w:shd w:val="clear" w:color="auto" w:fill="auto"/>
            <w:tcW w:w="773"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outlineLvl w:val="9"/>
            </w:pPr>
            <w:r>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r>
            <w:r/>
          </w:p>
        </w:tc>
        <w:tc>
          <w:tcPr>
            <w:shd w:val="clear" w:color="auto" w:fill="auto"/>
            <w:tcW w:w="876" w:type="dxa"/>
            <w:vAlign w:val="center"/>
            <w:vMerge w:val="restart"/>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网络服务</w:t>
            </w:r>
            <w:r/>
          </w:p>
        </w:tc>
        <w:tc>
          <w:tcPr>
            <w:shd w:val="clear" w:color="auto" w:fill="auto"/>
            <w:tcW w:w="87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弹性互联网IP地址</w:t>
            </w:r>
            <w:r/>
          </w:p>
        </w:tc>
        <w:tc>
          <w:tcPr>
            <w:shd w:val="clear" w:color="auto" w:fill="auto"/>
            <w:tcW w:w="1188"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弹性互联网IP地址</w:t>
            </w:r>
            <w:r/>
          </w:p>
        </w:tc>
        <w:tc>
          <w:tcPr>
            <w:shd w:val="clear" w:color="auto" w:fill="auto"/>
            <w:tcW w:w="1017"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IP地址</w:t>
            </w:r>
            <w:r/>
          </w:p>
        </w:tc>
        <w:tc>
          <w:tcPr>
            <w:shd w:val="clear" w:color="auto" w:fill="auto"/>
            <w:tcW w:w="2206"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为弹性云服务器分配的互联网公网IP地址,可根据需求与弹性云服务器绑定或解除绑定。</w:t>
            </w:r>
            <w:r/>
          </w:p>
        </w:tc>
        <w:tc>
          <w:tcPr>
            <w:shd w:val="clear" w:color="auto" w:fill="auto"/>
            <w:tcW w:w="81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1个</w:t>
            </w:r>
            <w:r/>
          </w:p>
        </w:tc>
        <w:tc>
          <w:tcPr>
            <w:shd w:val="clear" w:color="auto" w:fill="auto"/>
            <w:tcW w:w="1124" w:type="dxa"/>
            <w:vAlign w:val="center"/>
            <w:textDirection w:val="lrTb"/>
            <w:noWrap w:val="false"/>
          </w:tcPr>
          <w:p>
            <w:pPr>
              <w:ind w:left="0" w:right="0"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169</w:t>
            </w:r>
            <w:r/>
          </w:p>
        </w:tc>
      </w:tr>
      <w:tr>
        <w:trPr>
          <w:jc w:val="center"/>
          <w:trHeight w:val="0"/>
        </w:trPr>
        <w:tc>
          <w:tcPr>
            <w:shd w:val="clear" w:color="auto" w:fill="auto"/>
            <w:tcW w:w="773"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outlineLvl w:val="9"/>
            </w:pPr>
            <w:r>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r>
            <w:r/>
          </w:p>
        </w:tc>
        <w:tc>
          <w:tcPr>
            <w:shd w:val="clear" w:color="auto" w:fill="auto"/>
            <w:tcW w:w="876"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W w:w="87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互联网带宽</w:t>
            </w:r>
            <w:r/>
          </w:p>
        </w:tc>
        <w:tc>
          <w:tcPr>
            <w:shd w:val="clear" w:color="auto" w:fill="auto"/>
            <w:tcW w:w="1188"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互联网带宽</w:t>
            </w:r>
            <w:r/>
          </w:p>
        </w:tc>
        <w:tc>
          <w:tcPr>
            <w:shd w:val="clear" w:color="auto" w:fill="auto"/>
            <w:tcW w:w="1017"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带宽</w:t>
            </w:r>
            <w:r/>
          </w:p>
        </w:tc>
        <w:tc>
          <w:tcPr>
            <w:shd w:val="clear" w:color="auto" w:fill="auto"/>
            <w:tcW w:w="2206"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提供互联网接入服务，满足不同租户互联网访问需求。注：该部分服务目录由云平台统一提供服务，上云业务系统无需单独选择）。</w:t>
            </w:r>
            <w:r/>
          </w:p>
        </w:tc>
        <w:tc>
          <w:tcPr>
            <w:shd w:val="clear" w:color="auto" w:fill="auto"/>
            <w:tcW w:w="81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1M</w:t>
            </w:r>
            <w:r/>
          </w:p>
        </w:tc>
        <w:tc>
          <w:tcPr>
            <w:shd w:val="clear" w:color="auto" w:fill="auto"/>
            <w:tcW w:w="1124"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p>
        </w:tc>
      </w:tr>
      <w:tr>
        <w:trPr>
          <w:jc w:val="center"/>
          <w:trHeight w:val="1837"/>
        </w:trPr>
        <w:tc>
          <w:tcPr>
            <w:shd w:val="clear" w:color="auto" w:fill="auto"/>
            <w:tcW w:w="773"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二、软件服务</w:t>
            </w:r>
            <w:r/>
          </w:p>
        </w:tc>
        <w:tc>
          <w:tcPr>
            <w:shd w:val="clear" w:color="auto" w:fill="auto"/>
            <w:tcW w:w="87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数据库服务</w:t>
            </w:r>
            <w:r/>
          </w:p>
        </w:tc>
        <w:tc>
          <w:tcPr>
            <w:shd w:val="clear" w:color="auto" w:fill="auto"/>
            <w:tcW w:w="87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国产关系型数据库</w:t>
            </w:r>
            <w:r/>
          </w:p>
        </w:tc>
        <w:tc>
          <w:tcPr>
            <w:shd w:val="clear" w:color="auto" w:fill="auto"/>
            <w:tcW w:w="1188"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国产关系型数据库</w:t>
            </w:r>
            <w:r/>
          </w:p>
        </w:tc>
        <w:tc>
          <w:tcPr>
            <w:shd w:val="clear" w:color="auto" w:fill="auto"/>
            <w:tcW w:w="1017"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数据库授权</w:t>
            </w:r>
            <w:r/>
          </w:p>
        </w:tc>
        <w:tc>
          <w:tcPr>
            <w:shd w:val="clear" w:color="auto" w:fill="auto"/>
            <w:tcW w:w="2206"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根据需要提供国产关系型数据库授权服务（达梦、金仓等），不含配置、安装、运维服务。</w:t>
            </w:r>
            <w:r/>
          </w:p>
        </w:tc>
        <w:tc>
          <w:tcPr>
            <w:shd w:val="clear" w:color="auto" w:fill="auto"/>
            <w:tcW w:w="81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1授权</w:t>
            </w:r>
            <w:r/>
          </w:p>
        </w:tc>
        <w:tc>
          <w:tcPr>
            <w:shd w:val="clear" w:color="auto" w:fill="auto"/>
            <w:tcW w:w="1124" w:type="dxa"/>
            <w:vAlign w:val="center"/>
            <w:textDirection w:val="lrTb"/>
            <w:noWrap w:val="false"/>
          </w:tcPr>
          <w:p>
            <w:pPr>
              <w:ind w:left="0" w:right="0"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1000</w:t>
            </w:r>
            <w:r/>
          </w:p>
        </w:tc>
      </w:tr>
      <w:tr>
        <w:trPr>
          <w:jc w:val="center"/>
          <w:trHeight w:val="1130"/>
        </w:trPr>
        <w:tc>
          <w:tcPr>
            <w:shd w:val="clear" w:color="auto" w:fill="auto"/>
            <w:tcW w:w="773" w:type="dxa"/>
            <w:vAlign w:val="center"/>
            <w:vMerge w:val="restart"/>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三、技术服务</w:t>
            </w:r>
            <w:r/>
          </w:p>
        </w:tc>
        <w:tc>
          <w:tcPr>
            <w:shd w:val="clear" w:color="auto" w:fill="auto"/>
            <w:tcW w:w="876" w:type="dxa"/>
            <w:vAlign w:val="center"/>
            <w:textDirection w:val="lrTb"/>
            <w:noWrap w:val="false"/>
          </w:tcPr>
          <w:p>
            <w:pPr>
              <w:ind w:left="0" w:right="0"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机柜托管服务</w:t>
            </w:r>
            <w:r/>
          </w:p>
        </w:tc>
        <w:tc>
          <w:tcPr>
            <w:shd w:val="clear" w:color="auto" w:fill="auto"/>
            <w:tcW w:w="87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单U出租服务</w:t>
            </w:r>
            <w:r/>
          </w:p>
        </w:tc>
        <w:tc>
          <w:tcPr>
            <w:shd w:val="clear" w:color="auto" w:fill="auto"/>
            <w:tcW w:w="1188"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单U租用服务</w:t>
            </w:r>
            <w:r/>
          </w:p>
        </w:tc>
        <w:tc>
          <w:tcPr>
            <w:shd w:val="clear" w:color="auto" w:fill="auto"/>
            <w:tcW w:w="1017"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单元数量</w:t>
            </w:r>
            <w:r/>
          </w:p>
        </w:tc>
        <w:tc>
          <w:tcPr>
            <w:shd w:val="clear" w:color="auto" w:fill="auto"/>
            <w:tcW w:w="2206"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满足用户服务器和网络设备托管需求而提供的单U出租服务，含电费及安全运维服务。</w:t>
            </w:r>
            <w:r/>
          </w:p>
        </w:tc>
        <w:tc>
          <w:tcPr>
            <w:shd w:val="clear" w:color="auto" w:fill="auto"/>
            <w:tcW w:w="81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1U</w:t>
            </w:r>
            <w:r/>
          </w:p>
        </w:tc>
        <w:tc>
          <w:tcPr>
            <w:shd w:val="clear" w:color="auto" w:fill="auto"/>
            <w:tcW w:w="1124" w:type="dxa"/>
            <w:vAlign w:val="center"/>
            <w:textDirection w:val="lrTb"/>
            <w:noWrap w:val="false"/>
          </w:tcPr>
          <w:p>
            <w:pPr>
              <w:ind w:left="0" w:right="0"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4000</w:t>
            </w:r>
            <w:r/>
          </w:p>
        </w:tc>
      </w:tr>
      <w:tr>
        <w:trPr>
          <w:jc w:val="center"/>
          <w:trHeight w:val="1071"/>
        </w:trPr>
        <w:tc>
          <w:tcPr>
            <w:shd w:val="clear" w:color="auto" w:fill="auto"/>
            <w:tcW w:w="773" w:type="dxa"/>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r>
            <w:r/>
          </w:p>
        </w:tc>
        <w:tc>
          <w:tcPr>
            <w:shd w:val="clear" w:color="auto" w:fill="auto"/>
            <w:tcW w:w="876" w:type="dxa"/>
            <w:vAlign w:val="center"/>
            <w:textDirection w:val="lrTb"/>
            <w:noWrap w:val="false"/>
          </w:tcPr>
          <w:p>
            <w:pPr>
              <w:ind w:left="0" w:right="0"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高性能裸金属服务器独立租赁</w:t>
            </w:r>
            <w:r/>
          </w:p>
        </w:tc>
        <w:tc>
          <w:tcPr>
            <w:shd w:val="clear" w:color="auto" w:fill="auto"/>
            <w:tcW w:w="876" w:type="dxa"/>
            <w:vAlign w:val="center"/>
            <w:textDirection w:val="lrTb"/>
            <w:noWrap w:val="false"/>
          </w:tcPr>
          <w:p>
            <w:pPr>
              <w:ind w:left="0" w:right="0"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整台出租</w:t>
            </w:r>
            <w:r/>
          </w:p>
        </w:tc>
        <w:tc>
          <w:tcPr>
            <w:shd w:val="clear" w:color="auto" w:fill="auto"/>
            <w:tcW w:w="1188" w:type="dxa"/>
            <w:vAlign w:val="center"/>
            <w:textDirection w:val="lrTb"/>
            <w:noWrap w:val="false"/>
          </w:tcPr>
          <w:p>
            <w:pPr>
              <w:ind w:left="0" w:right="0"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w:t>
            </w:r>
            <w:r/>
          </w:p>
        </w:tc>
        <w:tc>
          <w:tcPr>
            <w:shd w:val="clear" w:color="auto" w:fill="auto"/>
            <w:tcW w:w="1017" w:type="dxa"/>
            <w:vAlign w:val="center"/>
            <w:textDirection w:val="lrTb"/>
            <w:noWrap w:val="false"/>
          </w:tcPr>
          <w:p>
            <w:pPr>
              <w:ind w:left="0" w:right="0"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整台数量</w:t>
            </w:r>
            <w:r/>
          </w:p>
        </w:tc>
        <w:tc>
          <w:tcPr>
            <w:shd w:val="clear" w:color="auto" w:fill="auto"/>
            <w:tcW w:w="2206" w:type="dxa"/>
            <w:vAlign w:val="center"/>
            <w:textDirection w:val="lrTb"/>
            <w:noWrap w:val="false"/>
          </w:tcPr>
          <w:p>
            <w:pPr>
              <w:ind w:left="0" w:right="0" w:firstLine="0"/>
              <w:jc w:val="left"/>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裸金属服务器采用独立租赁模式，服务价格根据服务器实际配置进行核算，按所选CPU、内存、存储等硬件规格及配置据实计费。</w:t>
            </w:r>
            <w:r/>
          </w:p>
        </w:tc>
        <w:tc>
          <w:tcPr>
            <w:shd w:val="clear" w:color="auto" w:fill="auto"/>
            <w:tcW w:w="816" w:type="dxa"/>
            <w:vAlign w:val="center"/>
            <w:textDirection w:val="lrTb"/>
            <w:noWrap w:val="false"/>
          </w:tcPr>
          <w:p>
            <w:pPr>
              <w:ind w:left="0" w:right="0"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1台</w:t>
            </w:r>
            <w:r/>
          </w:p>
        </w:tc>
        <w:tc>
          <w:tcPr>
            <w:shd w:val="clear" w:color="auto" w:fill="auto"/>
            <w:tcW w:w="1124" w:type="dxa"/>
            <w:vAlign w:val="center"/>
            <w:textDirection w:val="lrTb"/>
            <w:noWrap w:val="false"/>
          </w:tcPr>
          <w:p>
            <w:pPr>
              <w:ind w:left="0" w:right="0"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25000</w:t>
            </w:r>
            <w:r/>
          </w:p>
        </w:tc>
      </w:tr>
      <w:tr>
        <w:trPr>
          <w:jc w:val="center"/>
          <w:trHeight w:val="1146"/>
        </w:trPr>
        <w:tc>
          <w:tcPr>
            <w:shd w:val="clear" w:color="auto" w:fill="auto"/>
            <w:tcW w:w="773" w:type="dxa"/>
            <w:vAlign w:val="center"/>
            <w:textDirection w:val="lrTb"/>
            <w:noWrap w:val="false"/>
          </w:tcPr>
          <w:p>
            <w:pPr>
              <w:ind w:left="0" w:right="0" w:firstLine="0"/>
              <w:jc w:val="center"/>
              <w:keepLines w:val="0"/>
              <w:keepNext w:val="0"/>
              <w:pageBreakBefore w:val="0"/>
              <w:spacing w:line="240" w:lineRule="auto"/>
              <w:rPr>
                <w:rFonts w:hint="default" w:ascii="宋体" w:hAnsi="宋体" w:eastAsia="宋体" w:cs="宋体"/>
                <w:b w:val="0"/>
                <w:bCs w:val="0"/>
                <w:i w:val="0"/>
                <w:iCs w:val="0"/>
                <w:color w:val="000000" w:themeColor="text1"/>
                <w:sz w:val="24"/>
                <w:szCs w:val="24"/>
                <w:highlight w:val="none"/>
                <w:u w:val="none"/>
                <w:lang w:val="en-US" w:eastAsia="zh-CN"/>
                <w14:textFill>
                  <w14:solidFill>
                    <w14:schemeClr w14:val="tx1"/>
                  </w14:solidFill>
                </w14:textFill>
              </w:rPr>
              <w:outlineLvl w:val="9"/>
            </w:pPr>
            <w:r>
              <w:rPr>
                <w:rFonts w:hint="eastAsia" w:ascii="宋体" w:hAnsi="宋体" w:eastAsia="宋体" w:cs="宋体"/>
                <w:b w:val="0"/>
                <w:bCs w:val="0"/>
                <w:i w:val="0"/>
                <w:iCs w:val="0"/>
                <w:color w:val="000000" w:themeColor="text1"/>
                <w:sz w:val="24"/>
                <w:szCs w:val="24"/>
                <w:highlight w:val="none"/>
                <w:u w:val="none"/>
                <w:lang w:val="en-US" w:eastAsia="zh-CN"/>
                <w14:textFill>
                  <w14:solidFill>
                    <w14:schemeClr w14:val="tx1"/>
                  </w14:solidFill>
                </w14:textFill>
              </w:rPr>
              <w:t xml:space="preserve">四、安全服务</w:t>
            </w:r>
            <w:r/>
          </w:p>
        </w:tc>
        <w:tc>
          <w:tcPr>
            <w:shd w:val="clear" w:color="auto" w:fill="auto"/>
            <w:tcW w:w="876" w:type="dxa"/>
            <w:vAlign w:val="center"/>
            <w:textDirection w:val="lrTb"/>
            <w:noWrap w:val="false"/>
          </w:tcPr>
          <w:p>
            <w:pPr>
              <w:ind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主机安全</w:t>
            </w:r>
            <w:r/>
          </w:p>
        </w:tc>
        <w:tc>
          <w:tcPr>
            <w:shd w:val="clear" w:color="auto" w:fill="auto"/>
            <w:tcW w:w="876" w:type="dxa"/>
            <w:vAlign w:val="center"/>
            <w:textDirection w:val="lrTb"/>
            <w:noWrap w:val="false"/>
          </w:tcPr>
          <w:p>
            <w:pPr>
              <w:ind w:left="0" w:right="0"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虚拟机及裸金属服务器</w:t>
            </w:r>
            <w:r/>
          </w:p>
        </w:tc>
        <w:tc>
          <w:tcPr>
            <w:shd w:val="clear" w:color="auto" w:fill="auto"/>
            <w:tcW w:w="1188" w:type="dxa"/>
            <w:vAlign w:val="center"/>
            <w:textDirection w:val="lrTb"/>
            <w:noWrap w:val="false"/>
          </w:tcPr>
          <w:p>
            <w:pPr>
              <w:ind w:left="0" w:right="0"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w:t>
            </w:r>
            <w:r/>
          </w:p>
        </w:tc>
        <w:tc>
          <w:tcPr>
            <w:shd w:val="clear" w:color="auto" w:fill="auto"/>
            <w:tcW w:w="1017" w:type="dxa"/>
            <w:vAlign w:val="center"/>
            <w:textDirection w:val="lrTb"/>
            <w:noWrap w:val="false"/>
          </w:tcPr>
          <w:p>
            <w:pPr>
              <w:ind w:left="0" w:right="0"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w:t>
            </w:r>
            <w:r/>
          </w:p>
        </w:tc>
        <w:tc>
          <w:tcPr>
            <w:shd w:val="clear" w:color="auto" w:fill="auto"/>
            <w:tcW w:w="2206" w:type="dxa"/>
            <w:vAlign w:val="center"/>
            <w:textDirection w:val="lrTb"/>
            <w:noWrap w:val="false"/>
          </w:tcPr>
          <w:p>
            <w:pPr>
              <w:ind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Web应用防火墙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、日志审计、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数据库审计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、堡垒机、防火墙</w:t>
            </w:r>
            <w:r/>
          </w:p>
        </w:tc>
        <w:tc>
          <w:tcPr>
            <w:shd w:val="clear" w:color="auto" w:fill="auto"/>
            <w:tcW w:w="816" w:type="dxa"/>
            <w:vAlign w:val="center"/>
            <w:textDirection w:val="lrTb"/>
            <w:noWrap w:val="false"/>
          </w:tcPr>
          <w:p>
            <w:pPr>
              <w:ind w:left="0" w:right="0"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1个</w:t>
            </w:r>
            <w:r/>
          </w:p>
        </w:tc>
        <w:tc>
          <w:tcPr>
            <w:shd w:val="clear" w:color="auto" w:fill="auto"/>
            <w:tcW w:w="1124" w:type="dxa"/>
            <w:vAlign w:val="center"/>
            <w:textDirection w:val="lrTb"/>
            <w:noWrap w:val="false"/>
          </w:tcPr>
          <w:p>
            <w:pPr>
              <w:ind w:left="0" w:right="0" w:firstLine="0"/>
              <w:jc w:val="center"/>
              <w:keepLines w:val="0"/>
              <w:keepNext w:val="0"/>
              <w:pageBreakBefore w:val="0"/>
              <w:spacing w:line="240" w:lineRule="auto"/>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2000</w:t>
            </w:r>
            <w:r/>
          </w:p>
        </w:tc>
      </w:tr>
    </w:tbl>
    <w:p>
      <w:pPr>
        <w:ind w:left="0" w:right="0" w:firstLine="482"/>
        <w:keepLines w:val="0"/>
        <w:keepNext w:val="0"/>
        <w:pageBreakBefore w:val="0"/>
        <w:spacing w:after="0" w:line="440" w:lineRule="exact"/>
        <w:widowControl/>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说明：本“</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strike w:val="0"/>
          <w:color w:val="000000" w:themeColor="text1"/>
          <w:sz w:val="24"/>
          <w:szCs w:val="24"/>
          <w:highlight w:val="none"/>
          <w14:textFill>
            <w14:solidFill>
              <w14:schemeClr w14:val="tx1"/>
            </w14:solidFill>
          </w14:textFill>
        </w:rPr>
        <w:t xml:space="preserve">核心服务内容</w:t>
      </w:r>
      <w:r>
        <w:rPr>
          <w:rFonts w:hint="eastAsia" w:ascii="宋体" w:hAnsi="宋体" w:eastAsia="宋体" w:cs="宋体"/>
          <w:b/>
          <w:bCs/>
          <w:color w:val="000000" w:themeColor="text1"/>
          <w:sz w:val="24"/>
          <w:szCs w:val="24"/>
          <w:highlight w:val="none"/>
          <w14:textFill>
            <w14:solidFill>
              <w14:schemeClr w14:val="tx1"/>
            </w14:solidFill>
          </w14:textFill>
        </w:rPr>
        <w:t xml:space="preserve">”为不允许偏离的实质性要求和条件，如有偏离，在符合性审查时按照投标无效处理。</w:t>
      </w:r>
      <w:r/>
    </w:p>
    <w:p>
      <w:pPr>
        <w:ind w:right="0" w:firstLine="482"/>
        <w:keepLines w:val="0"/>
        <w:keepNext w:val="0"/>
        <w:pageBreakBefore w:val="0"/>
        <w:spacing w:after="0" w:line="440" w:lineRule="exact"/>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4"/>
          <w:szCs w:val="24"/>
          <w:highlight w:val="none"/>
          <w14:textFill>
            <w14:solidFill>
              <w14:schemeClr w14:val="tx1"/>
            </w14:solidFill>
          </w14:textFill>
        </w:rPr>
        <w:t xml:space="preserve">总体技术要求</w:t>
      </w:r>
      <w:bookmarkEnd w:id="17"/>
      <w:r/>
      <w:r/>
    </w:p>
    <w:p>
      <w:pPr>
        <w:ind w:firstLine="480"/>
        <w:jc w:val="left"/>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次项目云平台由内网区和外网区两部分组成。中标的云服务商应在两个区域分别部署云资源，以满足不同应用的部署环境需求，通过跨网数据安全交换平台实现内网区和外网区两个区域的强逻辑隔离。云平台出口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相关系统迁入单位</w:t>
      </w:r>
      <w:r>
        <w:rPr>
          <w:rFonts w:hint="eastAsia" w:ascii="宋体" w:hAnsi="宋体" w:eastAsia="宋体" w:cs="宋体"/>
          <w:color w:val="000000" w:themeColor="text1"/>
          <w:sz w:val="24"/>
          <w:szCs w:val="24"/>
          <w:highlight w:val="none"/>
          <w14:textFill>
            <w14:solidFill>
              <w14:schemeClr w14:val="tx1"/>
            </w14:solidFill>
          </w14:textFill>
        </w:rPr>
        <w:t xml:space="preserve">办公区域通过裸光纤专线互联，提供不低于万兆带宽的网络服务速度，云服务机房应具备运营商裸光纤专线接入能力，并提供边界安全防护能力，保护云服务平台免受外部网络攻击。</w:t>
      </w:r>
      <w:r/>
    </w:p>
    <w:p>
      <w:pPr>
        <w:ind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outlineLvl w:val="2"/>
      </w:pPr>
      <w:r/>
      <w:bookmarkStart w:id="18" w:name="_Toc2905"/>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1.总体系统架构要求</w:t>
      </w:r>
      <w:bookmarkEnd w:id="18"/>
      <w:r/>
      <w:r/>
    </w:p>
    <w:p>
      <w:pPr>
        <w:ind w:firstLine="480"/>
        <w:jc w:val="left"/>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物理层：应包括运行业务所需云平台底层基座，比如计算、存储、网络、安全等设备。</w:t>
      </w:r>
      <w:r/>
    </w:p>
    <w:p>
      <w:pPr>
        <w:ind w:firstLine="480"/>
        <w:jc w:val="left"/>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资源抽象与控制层：应通过虚拟化技术，负责对底层硬件资源进行抽象，统一调度计算、存储、网络、安全资源池。</w:t>
      </w:r>
      <w:r/>
    </w:p>
    <w:p>
      <w:pPr>
        <w:ind w:firstLine="480"/>
        <w:jc w:val="left"/>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云服务层：应为各类业务与应用平台提供云资源服务和云应用服务，为其他上层平台与应用提供数据支撑基础。</w:t>
      </w:r>
      <w:r/>
    </w:p>
    <w:p>
      <w:pPr>
        <w:ind w:firstLine="480"/>
        <w:jc w:val="left"/>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运行监控与维护管理：应为云平台运维管理员提供设备管理、配置管理、镜像管理等能力，满足云平台的日常运营维护需求。</w:t>
      </w:r>
      <w:r/>
    </w:p>
    <w:p>
      <w:pPr>
        <w:ind w:firstLine="480"/>
        <w:jc w:val="left"/>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云服务管理：应具备云服务的配置与管理能力，包括服务目录的发布，组织架构的定义，用户管理、云业务流程定制设计以及资源的配额策略定义等。</w:t>
      </w:r>
      <w:r/>
    </w:p>
    <w:p>
      <w:pPr>
        <w:ind w:firstLine="480"/>
        <w:jc w:val="left"/>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安全防护体系：安全防护体系应为物理层、资源抽象与控制层、云服务层提供全方位的安全防护，包括下一代防火墙、Web应用防火墙、堡垒机、综合漏洞扫描、数据库审计、日志审计、主机安全，满足信息安全技术网络安全三级等级保护要求等模块。</w:t>
      </w:r>
      <w:r/>
    </w:p>
    <w:p>
      <w:pPr>
        <w:ind w:firstLine="480"/>
        <w:jc w:val="left"/>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根据云</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平台</w:t>
      </w:r>
      <w:r>
        <w:rPr>
          <w:rFonts w:hint="eastAsia" w:ascii="宋体" w:hAnsi="宋体" w:eastAsia="宋体" w:cs="宋体"/>
          <w:color w:val="000000" w:themeColor="text1"/>
          <w:sz w:val="24"/>
          <w:szCs w:val="24"/>
          <w:highlight w:val="none"/>
          <w14:textFill>
            <w14:solidFill>
              <w14:schemeClr w14:val="tx1"/>
            </w14:solidFill>
          </w14:textFill>
        </w:rPr>
        <w:t xml:space="preserve">的整体建设需求，本次项目总体网络架构应由电子政务外网和互联网两大网络区域组成。参考架构如下：</w:t>
      </w:r>
      <w:r/>
    </w:p>
    <w:p>
      <w:pPr>
        <w:ind w:left="0" w:firstLine="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5434965" cy="3185160"/>
                <wp:effectExtent l="0" t="0" r="13335" b="15240"/>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r/>
                      </pic:nvPicPr>
                      <pic:blipFill>
                        <a:blip r:embed="rId32"/>
                        <a:stretch/>
                      </pic:blipFill>
                      <pic:spPr bwMode="auto">
                        <a:xfrm>
                          <a:off x="0" y="0"/>
                          <a:ext cx="5434965" cy="3185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27.9pt;height:250.8pt;mso-wrap-distance-left:0.0pt;mso-wrap-distance-top:0.0pt;mso-wrap-distance-right:0.0pt;mso-wrap-distance-bottom:0.0pt;" stroked="f">
                <v:path textboxrect="0,0,0,0"/>
                <v:imagedata r:id="rId32" o:title=""/>
              </v:shape>
            </w:pict>
          </mc:Fallback>
        </mc:AlternateContent>
      </w:r>
      <w:r/>
    </w:p>
    <w:p>
      <w:pPr>
        <w:ind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outlineLvl w:val="2"/>
      </w:pPr>
      <w:r/>
      <w:bookmarkStart w:id="19" w:name="_Toc11130"/>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2.总体物理环境要求</w:t>
      </w:r>
      <w:bookmarkEnd w:id="19"/>
      <w:r/>
      <w:r/>
    </w:p>
    <w:p>
      <w:pPr>
        <w:ind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outlineLvl w:val="3"/>
      </w:pPr>
      <w:r/>
      <w:bookmarkStart w:id="20" w:name="_Toc9335"/>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（1）机房要求</w:t>
      </w:r>
      <w:bookmarkEnd w:id="20"/>
      <w:r/>
      <w:r/>
    </w:p>
    <w:p>
      <w:pPr>
        <w:ind w:firstLine="480"/>
        <w:jc w:val="left"/>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机房应位于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丰县</w:t>
      </w:r>
      <w:r>
        <w:rPr>
          <w:rFonts w:hint="eastAsia" w:ascii="宋体" w:hAnsi="宋体" w:eastAsia="宋体" w:cs="宋体"/>
          <w:color w:val="000000" w:themeColor="text1"/>
          <w:sz w:val="24"/>
          <w:szCs w:val="24"/>
          <w:highlight w:val="none"/>
          <w14:textFill>
            <w14:solidFill>
              <w14:schemeClr w14:val="tx1"/>
            </w14:solidFill>
          </w14:textFill>
        </w:rPr>
        <w:t xml:space="preserve">辖区内，产权须为自有或在租赁有效期内，且应能保持机房场地使用稳定，有提供连续的、长期服务的能力；机房基础环境应符合国家标准GB50174-2017《数据中心设计规范》、GB50462-2015《数据中心基础设施施工及验收规范》中相关规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应根据机房功能要求和安全要求划分安全域，以保证各个区域的操作能够独立进行，区域的逻辑划分和物理划分应保持一致，包括网络接入、业务开展、安全服务、调试等区域；</w:t>
      </w:r>
      <w:r/>
    </w:p>
    <w:p>
      <w:pPr>
        <w:ind w:firstLine="480"/>
        <w:jc w:val="left"/>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机房负荷为一级负荷，机房UPS釆用N+1运行方式，后备电池持续供电时间不少于60分钟；机房应配置发电机，电力切换时间≤30分钟，保障云</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平台</w:t>
      </w:r>
      <w:r>
        <w:rPr>
          <w:rFonts w:hint="eastAsia" w:ascii="宋体" w:hAnsi="宋体" w:eastAsia="宋体" w:cs="宋体"/>
          <w:color w:val="000000" w:themeColor="text1"/>
          <w:sz w:val="24"/>
          <w:szCs w:val="24"/>
          <w:highlight w:val="none"/>
          <w14:textFill>
            <w14:solidFill>
              <w14:schemeClr w14:val="tx1"/>
            </w14:solidFill>
          </w14:textFill>
        </w:rPr>
        <w:t xml:space="preserve">机房内的机房设备供电；机房配电分路要求需满足机柜配置功率每机柜不低于4KW，机柜末端采用专用PDU接入方式；交流配电列头柜和交流专用配电母线宜配备瞬态电压浪涌保护器和电源监测装置，并应提供远程通信接口；机房配备环境动力监测和报警系统，对机房的温度、湿度和电力情况进行监测,并在出现异常情况时报警，且环境动力监测数据能够以可视化方式呈现在运维监控室。</w:t>
      </w:r>
      <w:r/>
    </w:p>
    <w:p>
      <w:pPr>
        <w:ind w:firstLine="480"/>
        <w:jc w:val="left"/>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安全防范系统宜由视频安防监控系统、入侵报警系统和出入口控制系统组成，各系统之间应具备联动控制功能；紧急情况时，出入口控制系统应能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接收</w:t>
      </w:r>
      <w:r>
        <w:rPr>
          <w:rFonts w:hint="eastAsia" w:ascii="宋体" w:hAnsi="宋体" w:eastAsia="宋体" w:cs="宋体"/>
          <w:color w:val="000000" w:themeColor="text1"/>
          <w:sz w:val="24"/>
          <w:szCs w:val="24"/>
          <w:highlight w:val="none"/>
          <w14:textFill>
            <w14:solidFill>
              <w14:schemeClr w14:val="tx1"/>
            </w14:solidFill>
          </w14:textFill>
        </w:rPr>
        <w:t xml:space="preserve">相关系统的联动控制信号，自动打开疏散通道上的门禁系统；进入机房的来访人员须经过申请和审批流程，并限制和监控其活动范围；第三方人员进入机房或进行机房作业，须经相关管理部门批准，并进行登记，记录内容包括但不限于：时间、人员、操作原因、操作目的、操作内容等。整个过程应由专人全程陪同，确保整个过程符合机房管理的各项规定。</w:t>
      </w:r>
      <w:r/>
    </w:p>
    <w:p>
      <w:pPr>
        <w:ind w:firstLine="480"/>
        <w:jc w:val="left"/>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机房的消防系统须采用管网气体灭火系统，高灵敏度烟雾探测系统，24小时监控；数据中心应设置火灾自动报警系统；数据中心应设置室内消火栓系统和建筑灭火器，室内消火栓系统宜配置消防软管卷盘。</w:t>
      </w:r>
      <w:r/>
    </w:p>
    <w:p>
      <w:pPr>
        <w:ind w:firstLine="480"/>
        <w:jc w:val="left"/>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3"/>
      </w:pPr>
      <w:r/>
      <w:bookmarkStart w:id="21" w:name="_Toc5586"/>
      <w:r>
        <w:rPr>
          <w:rFonts w:hint="eastAsia" w:ascii="宋体" w:hAnsi="宋体" w:eastAsia="宋体" w:cs="宋体"/>
          <w:color w:val="000000" w:themeColor="text1"/>
          <w:sz w:val="24"/>
          <w:szCs w:val="24"/>
          <w:highlight w:val="none"/>
          <w14:textFill>
            <w14:solidFill>
              <w14:schemeClr w14:val="tx1"/>
            </w14:solidFill>
          </w14:textFill>
        </w:rPr>
        <w:t xml:space="preserve">（2）设备要求</w:t>
      </w:r>
      <w:bookmarkEnd w:id="21"/>
      <w:r/>
      <w:r/>
    </w:p>
    <w:p>
      <w:pPr>
        <w:ind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云平台应提供功能完整、架构完善、体系完备的服务能力，如云服务器、云物理主机、云存储、云备份、负载均衡、云防火墙、云中间件等服务产品。</w:t>
      </w:r>
      <w:r/>
    </w:p>
    <w:p>
      <w:pPr>
        <w:ind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outlineLvl w:val="2"/>
      </w:pPr>
      <w:r/>
      <w:bookmarkStart w:id="22" w:name="_Toc13181"/>
      <w:r>
        <w:rPr>
          <w:rFonts w:hint="eastAsia" w:ascii="宋体" w:hAnsi="宋体" w:eastAsia="宋体" w:cs="宋体"/>
          <w:b w:val="0"/>
          <w:bCs w:val="0"/>
          <w:color w:val="000000" w:themeColor="text1"/>
          <w:sz w:val="24"/>
          <w:szCs w:val="24"/>
          <w:highlight w:val="none"/>
          <w14:textFill>
            <w14:solidFill>
              <w14:schemeClr w14:val="tx1"/>
            </w14:solidFill>
          </w14:textFill>
        </w:rPr>
        <w:t xml:space="preserve">3.云平台要求</w:t>
      </w:r>
      <w:bookmarkEnd w:id="22"/>
      <w:r/>
      <w:r/>
    </w:p>
    <w:p>
      <w:pPr>
        <w:ind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云平台基于国产技术架构，结合主流虚拟化技术打造云计算操作系统，有效整合和利用基础设施资源，通过智能调度和优化算法，实现基础设施层的统一管理和调度，提供虚拟化、容器、裸金属等多元计算能力，以满足多样化的应用需求和用户场景，所有组件均需实现自主可控，能够提供IaaS、PaaS全栈云服务，实现对传统X86</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和国产化</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应用软件的广泛兼容和平滑迁移。</w:t>
      </w:r>
      <w:r/>
    </w:p>
    <w:p>
      <w:pPr>
        <w:ind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outlineLvl w:val="2"/>
      </w:pPr>
      <w:r/>
      <w:bookmarkStart w:id="23" w:name="_Toc12604"/>
      <w:r>
        <w:rPr>
          <w:rFonts w:hint="eastAsia" w:ascii="宋体" w:hAnsi="宋体" w:eastAsia="宋体" w:cs="宋体"/>
          <w:b w:val="0"/>
          <w:bCs w:val="0"/>
          <w:color w:val="000000" w:themeColor="text1"/>
          <w:sz w:val="24"/>
          <w:szCs w:val="24"/>
          <w:highlight w:val="none"/>
          <w14:textFill>
            <w14:solidFill>
              <w14:schemeClr w14:val="tx1"/>
            </w14:solidFill>
          </w14:textFill>
        </w:rPr>
        <w:t xml:space="preserve">4.计算资源池要求</w:t>
      </w:r>
      <w:bookmarkEnd w:id="23"/>
      <w:r/>
      <w:r/>
    </w:p>
    <w:p>
      <w:pPr>
        <w:ind w:firstLine="480"/>
        <w:jc w:val="left"/>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云计算平台应提</w:t>
      </w:r>
      <w:r>
        <w:rPr>
          <w:rFonts w:hint="eastAsia" w:ascii="宋体" w:hAnsi="宋体" w:eastAsia="宋体" w:cs="宋体"/>
          <w:color w:val="000000" w:themeColor="text1"/>
          <w:sz w:val="24"/>
          <w:szCs w:val="24"/>
          <w:highlight w:val="none"/>
          <w14:textFill>
            <w14:solidFill>
              <w14:schemeClr w14:val="tx1"/>
            </w14:solidFill>
          </w14:textFill>
        </w:rPr>
        <w:t xml:space="preserve">供功能完整、架构完善、体系完备的服务能力，如云服务器、云物理主机、云存储、云备份、负载均衡、云防火墙、云中间件等服务产品，可在线提供物理和虚拟两种模式的云服务器产品。</w:t>
      </w:r>
      <w:r/>
    </w:p>
    <w:p>
      <w:pPr>
        <w:ind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outlineLvl w:val="2"/>
      </w:pPr>
      <w:r/>
      <w:bookmarkStart w:id="24" w:name="_Toc28650"/>
      <w:r>
        <w:rPr>
          <w:rFonts w:hint="eastAsia" w:ascii="宋体" w:hAnsi="宋体" w:eastAsia="宋体" w:cs="宋体"/>
          <w:b w:val="0"/>
          <w:bCs w:val="0"/>
          <w:color w:val="000000" w:themeColor="text1"/>
          <w:sz w:val="24"/>
          <w:szCs w:val="24"/>
          <w:highlight w:val="none"/>
          <w14:textFill>
            <w14:solidFill>
              <w14:schemeClr w14:val="tx1"/>
            </w14:solidFill>
          </w14:textFill>
        </w:rPr>
        <w:t xml:space="preserve">5.存储资源池要求</w:t>
      </w:r>
      <w:bookmarkEnd w:id="24"/>
      <w:r/>
      <w:r/>
    </w:p>
    <w:p>
      <w:pPr>
        <w:ind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高性能存储与普通存储可按应用需求选择不同磁盘类型，实现数据按需存储，支持多种存储类型，包括块存储、对象存储、NAS存储等，采用先进的磁盘容错技术，在硬盘故障后可实现快速重构，避免重构过程中其他硬盘损坏导致的数据丢失风险。</w:t>
      </w:r>
      <w:r/>
    </w:p>
    <w:p>
      <w:pPr>
        <w:ind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outlineLvl w:val="2"/>
      </w:pPr>
      <w:r/>
      <w:bookmarkStart w:id="25" w:name="_Toc6028"/>
      <w:r>
        <w:rPr>
          <w:rFonts w:hint="eastAsia" w:ascii="宋体" w:hAnsi="宋体" w:eastAsia="宋体" w:cs="宋体"/>
          <w:b w:val="0"/>
          <w:bCs w:val="0"/>
          <w:color w:val="000000" w:themeColor="text1"/>
          <w:sz w:val="24"/>
          <w:szCs w:val="24"/>
          <w:highlight w:val="none"/>
          <w14:textFill>
            <w14:solidFill>
              <w14:schemeClr w14:val="tx1"/>
            </w14:solidFill>
          </w14:textFill>
        </w:rPr>
        <w:t xml:space="preserve">6.网络资源池要求</w:t>
      </w:r>
      <w:bookmarkEnd w:id="25"/>
      <w:r/>
      <w:r/>
    </w:p>
    <w:p>
      <w:pPr>
        <w:ind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网络资源池需具备，灵活分配网络资源，支持网络地址、网络带宽的分配及灵活变更；完善的访问控制，支持不同租户之间的网络隔离；支持虚拟机迁移，保证虚拟机迁移前后的网络环境保持畅通；支持大规模虚拟机的自动化网络管理等能力。</w:t>
      </w:r>
      <w:r/>
    </w:p>
    <w:p>
      <w:pPr>
        <w:ind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outlineLvl w:val="2"/>
      </w:pPr>
      <w:r/>
      <w:bookmarkStart w:id="26" w:name="_Toc4946"/>
      <w:r>
        <w:rPr>
          <w:rFonts w:hint="eastAsia" w:ascii="宋体" w:hAnsi="宋体" w:eastAsia="宋体" w:cs="宋体"/>
          <w:b w:val="0"/>
          <w:bCs w:val="0"/>
          <w:color w:val="000000" w:themeColor="text1"/>
          <w:sz w:val="24"/>
          <w:szCs w:val="24"/>
          <w:highlight w:val="none"/>
          <w14:textFill>
            <w14:solidFill>
              <w14:schemeClr w14:val="tx1"/>
            </w14:solidFill>
          </w14:textFill>
        </w:rPr>
        <w:t xml:space="preserve">7.备份要求</w:t>
      </w:r>
      <w:bookmarkEnd w:id="26"/>
      <w:r/>
      <w:r/>
    </w:p>
    <w:p>
      <w:pPr>
        <w:ind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为本项目提</w:t>
      </w:r>
      <w:r>
        <w:rPr>
          <w:rFonts w:hint="eastAsia" w:ascii="宋体" w:hAnsi="宋体" w:eastAsia="宋体" w:cs="宋体"/>
          <w:color w:val="000000" w:themeColor="text1"/>
          <w:sz w:val="24"/>
          <w:szCs w:val="24"/>
          <w:highlight w:val="none"/>
          <w14:textFill>
            <w14:solidFill>
              <w14:schemeClr w14:val="tx1"/>
            </w14:solidFill>
          </w14:textFill>
        </w:rPr>
        <w:t xml:space="preserve">供本地备份服务，应支持云主机、云硬盘、云数据库等的备份，防止在掉电、业务数据误删或者火灾、地震等不可控因素发生时，利用备份副本快速恢复业</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务，保障业务的连续性。</w:t>
      </w:r>
      <w:r/>
    </w:p>
    <w:p>
      <w:pPr>
        <w:ind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outlineLvl w:val="2"/>
      </w:pPr>
      <w:r/>
      <w:bookmarkStart w:id="27" w:name="_Toc12010"/>
      <w:r>
        <w:rPr>
          <w:rFonts w:hint="eastAsia" w:ascii="宋体" w:hAnsi="宋体" w:eastAsia="宋体" w:cs="宋体"/>
          <w:b w:val="0"/>
          <w:bCs w:val="0"/>
          <w:color w:val="000000" w:themeColor="text1"/>
          <w:sz w:val="24"/>
          <w:szCs w:val="24"/>
          <w:highlight w:val="none"/>
          <w14:textFill>
            <w14:solidFill>
              <w14:schemeClr w14:val="tx1"/>
            </w14:solidFill>
          </w14:textFill>
        </w:rPr>
        <w:t xml:space="preserve">8.云管理平台要求</w:t>
      </w:r>
      <w:bookmarkEnd w:id="27"/>
      <w:r/>
      <w:r/>
    </w:p>
    <w:p>
      <w:pPr>
        <w:ind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云管理平台应可支撑各类业务系统的快速部署和变更扩容，实现服务能力和产品组合管理，快速承接业务开通与流程审批，差异化多模式服务计量。应可提供用户从申请、开通、变更全流程服务。实现管理平台接收资源后的客户、产品及云资源的关系管理。</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outlineLvl w:val="2"/>
      </w:pPr>
      <w:r/>
      <w:bookmarkStart w:id="28" w:name="_Toc14999"/>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9.</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安全要求</w:t>
      </w:r>
      <w:bookmarkEnd w:id="28"/>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云</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平台</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安全防护应满足信息系统安全等级保护三级</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有关</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要求，</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在中标后半年内</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通过第三</w:t>
      </w:r>
      <w:r>
        <w:rPr>
          <w:rFonts w:hint="eastAsia" w:ascii="宋体" w:hAnsi="宋体" w:eastAsia="宋体" w:cs="宋体"/>
          <w:color w:val="000000" w:themeColor="text1"/>
          <w:sz w:val="24"/>
          <w:szCs w:val="24"/>
          <w:highlight w:val="none"/>
          <w14:textFill>
            <w14:solidFill>
              <w14:schemeClr w14:val="tx1"/>
            </w14:solidFill>
          </w14:textFill>
        </w:rPr>
        <w:t xml:space="preserve">方机构的等保测评。</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b w:val="0"/>
          <w:bCs w:val="0"/>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strike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strike w:val="0"/>
          <w:color w:val="000000" w:themeColor="text1"/>
          <w:sz w:val="24"/>
          <w:szCs w:val="24"/>
          <w:highlight w:val="none"/>
          <w14:textFill>
            <w14:solidFill>
              <w14:schemeClr w14:val="tx1"/>
            </w14:solidFill>
          </w14:textFill>
        </w:rPr>
        <w:t xml:space="preserve">云平台应满足密码相关国家政策法规要求，符合《信息系统密码应用基本要求》（GB/T 39786-2021）中第三级指标要求，</w:t>
      </w: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在</w:t>
      </w:r>
      <w:r>
        <w:rPr>
          <w:rFonts w:hint="eastAsia" w:ascii="宋体" w:hAnsi="宋体" w:eastAsia="宋体" w:cs="宋体"/>
          <w:b w:val="0"/>
          <w:bCs w:val="0"/>
          <w:strike w:val="0"/>
          <w:color w:val="000000" w:themeColor="text1"/>
          <w:sz w:val="24"/>
          <w:szCs w:val="24"/>
          <w:highlight w:val="none"/>
          <w:lang w:val="en-US" w:eastAsia="zh-CN"/>
          <w14:textFill>
            <w14:solidFill>
              <w14:schemeClr w14:val="tx1"/>
            </w14:solidFill>
          </w14:textFill>
        </w:rPr>
        <w:t xml:space="preserve">中标后</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半年</w:t>
      </w:r>
      <w:r>
        <w:rPr>
          <w:rFonts w:hint="eastAsia" w:ascii="宋体" w:hAnsi="宋体" w:eastAsia="宋体" w:cs="宋体"/>
          <w:b w:val="0"/>
          <w:bCs w:val="0"/>
          <w:strike w:val="0"/>
          <w:color w:val="000000" w:themeColor="text1"/>
          <w:sz w:val="24"/>
          <w:szCs w:val="24"/>
          <w:highlight w:val="none"/>
          <w:lang w:val="en-US" w:eastAsia="zh-CN"/>
          <w14:textFill>
            <w14:solidFill>
              <w14:schemeClr w14:val="tx1"/>
            </w14:solidFill>
          </w14:textFill>
        </w:rPr>
        <w:t xml:space="preserve">内</w:t>
      </w:r>
      <w:r>
        <w:rPr>
          <w:rFonts w:hint="eastAsia" w:ascii="宋体" w:hAnsi="宋体" w:eastAsia="宋体" w:cs="宋体"/>
          <w:strike w:val="0"/>
          <w:color w:val="000000" w:themeColor="text1"/>
          <w:sz w:val="24"/>
          <w:szCs w:val="24"/>
          <w:highlight w:val="none"/>
          <w14:textFill>
            <w14:solidFill>
              <w14:schemeClr w14:val="tx1"/>
            </w14:solidFill>
          </w14:textFill>
        </w:rPr>
        <w:t xml:space="preserve">通过商用密码应用</w:t>
      </w:r>
      <w:r>
        <w:rPr>
          <w:rFonts w:hint="eastAsia" w:ascii="宋体" w:hAnsi="宋体" w:eastAsia="宋体" w:cs="宋体"/>
          <w:b w:val="0"/>
          <w:bCs w:val="0"/>
          <w:strike w:val="0"/>
          <w:color w:val="000000" w:themeColor="text1"/>
          <w:sz w:val="24"/>
          <w:szCs w:val="24"/>
          <w:highlight w:val="none"/>
          <w14:textFill>
            <w14:solidFill>
              <w14:schemeClr w14:val="tx1"/>
            </w14:solidFill>
          </w14:textFill>
        </w:rPr>
        <w:t xml:space="preserve">安全性评估。</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outlineLvl w:val="2"/>
      </w:pPr>
      <w:r/>
      <w:bookmarkStart w:id="29" w:name="_Toc6818"/>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10.</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正版化要求</w:t>
      </w:r>
      <w:bookmarkEnd w:id="29"/>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投</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标人所提供的相关软硬件服务应提供正版授权，若因</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投</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标人提供的软硬件服务所产生的一切问题和纠纷，均由</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投</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标人自行解决，因此给招标人带来损失的，</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投</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标人负责赔偿</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投标供应商须在投标文件中提供承诺函并加盖投标单位公章）</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outlineLvl w:val="2"/>
      </w:pPr>
      <w:r/>
      <w:bookmarkStart w:id="30" w:name="_Toc22013"/>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11.</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运维服务要求</w:t>
      </w:r>
      <w:bookmarkEnd w:id="30"/>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提供专业技术维护人员驻场提供7*24小时运维服务。运维服务内容包括：云平台基础设施运维服务、平台安全管理服务、网络接入服务、综合管理服务以及政务信创云服务平台的资源监测、资源配置、资源优化、服务监控、事件处理、运维流程、日常巡检、备份恢复、备份管理、应急预案管理、服务质量监督和报告等服务。</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outlineLvl w:val="2"/>
      </w:pPr>
      <w:r/>
      <w:bookmarkStart w:id="31" w:name="_Toc9064"/>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12.</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资源池建设要求</w:t>
      </w:r>
      <w:bookmarkEnd w:id="31"/>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主要为基础设施的计算资源服务和存储资源服务。根据当前迁入部门云资源需求汇总，本项目互联网区与政务外网区云服务资源总量应满足如下要求：</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≥2000核vCPU（CPU超分不得高于1:6）；</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≥5120 GB内存（不超分）；</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≥87040 GB SAS块存储和SSD高速存储（具备数据冗余备份保护能力）；</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（注：实际可用容量）</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为应对未来业务上云需求和突发应急资源需求，云服务商提供的云平台应支持横向灵活扩容，且扩容工作对已上云业务的运行无影响；另外，为保证合规性与安全性，云平台应专云专用。</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投标供应商须对以上要求进行明确响应并提供承诺函，格式自拟</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outlineLvl w:val="2"/>
      </w:pPr>
      <w:r/>
      <w:bookmarkStart w:id="32" w:name="_Toc18145"/>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13.</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上云部署要求</w:t>
      </w:r>
      <w:bookmarkEnd w:id="32"/>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在支撑迁入单位的业务系统迁移或部署上云过程中，云服务商应提供服务：</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开展业务信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息系统上云前的云资源需求分析工作，提供测试资源。</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（2）配合上云单位开展业务信息系统测试和上云过程中的问题故障分析，提出解决方案并配合解决。</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（3）负责业务信息系统测试和上云过程中对硬件、网络、软件、安全等运行环境的变更工作。</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（4）配合业务信息系统测试工作，如压力测试、功能测试等。</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（5）开展业务信息系统测试报告收集和资源使用率评估工作，提出交付资源建议，形成上云建议方案提交给采购人。</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outlineLvl w:val="2"/>
      </w:pPr>
      <w:r/>
      <w:bookmarkStart w:id="33" w:name="_Toc23226"/>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14.</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迁移要求</w:t>
      </w:r>
      <w:bookmarkEnd w:id="33"/>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bookmarkStart w:id="34" w:name="_Hlk190096572"/>
      <w:r>
        <w:rPr>
          <w:rFonts w:hint="eastAsia" w:ascii="宋体" w:hAnsi="宋体" w:eastAsia="宋体" w:cs="宋体"/>
          <w:color w:val="000000" w:themeColor="text1"/>
          <w:sz w:val="24"/>
          <w:szCs w:val="24"/>
          <w:highlight w:val="none"/>
          <w14:textFill>
            <w14:solidFill>
              <w14:schemeClr w14:val="tx1"/>
            </w14:solidFill>
          </w14:textFill>
        </w:rPr>
        <w:t xml:space="preserve">为保障云</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平台</w:t>
      </w:r>
      <w:r>
        <w:rPr>
          <w:rFonts w:hint="eastAsia" w:ascii="宋体" w:hAnsi="宋体" w:eastAsia="宋体" w:cs="宋体"/>
          <w:color w:val="000000" w:themeColor="text1"/>
          <w:sz w:val="24"/>
          <w:szCs w:val="24"/>
          <w:highlight w:val="none"/>
          <w14:textFill>
            <w14:solidFill>
              <w14:schemeClr w14:val="tx1"/>
            </w14:solidFill>
          </w14:textFill>
        </w:rPr>
        <w:t xml:space="preserve">存量应用的连续性，如需进行迁移</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服务商</w:t>
      </w:r>
      <w:r>
        <w:rPr>
          <w:rFonts w:hint="eastAsia" w:ascii="宋体" w:hAnsi="宋体" w:eastAsia="宋体" w:cs="宋体"/>
          <w:color w:val="000000" w:themeColor="text1"/>
          <w:sz w:val="24"/>
          <w:szCs w:val="24"/>
          <w:highlight w:val="none"/>
          <w14:textFill>
            <w14:solidFill>
              <w14:schemeClr w14:val="tx1"/>
            </w14:solidFill>
          </w14:textFill>
        </w:rPr>
        <w:t xml:space="preserve">必须承担存量应用迁移涉及的全部责任（如数据丢失、业务中断、设备和系统损坏、迁移费用等）。云平台初次交付，进行迁移前需经采购人验收，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验收合格后，云平台服务</w:t>
      </w:r>
      <w:r>
        <w:rPr>
          <w:rFonts w:hint="eastAsia" w:ascii="宋体" w:hAnsi="宋体" w:eastAsia="宋体" w:cs="宋体"/>
          <w:color w:val="000000" w:themeColor="text1"/>
          <w:sz w:val="24"/>
          <w:szCs w:val="24"/>
          <w:highlight w:val="none"/>
          <w14:textFill>
            <w14:solidFill>
              <w14:schemeClr w14:val="tx1"/>
            </w14:solidFill>
          </w14:textFill>
        </w:rPr>
        <w:t xml:space="preserve">商必须在</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b/>
          <w:bCs/>
          <w:color w:val="000000" w:themeColor="text1"/>
          <w:sz w:val="24"/>
          <w:szCs w:val="24"/>
          <w:highlight w:val="none"/>
          <w14:textFill>
            <w14:solidFill>
              <w14:schemeClr w14:val="tx1"/>
            </w14:solidFill>
          </w14:textFill>
        </w:rPr>
        <w:t xml:space="preserve">天</w:t>
      </w:r>
      <w:r>
        <w:rPr>
          <w:rFonts w:hint="eastAsia" w:ascii="宋体" w:hAnsi="宋体" w:eastAsia="宋体" w:cs="宋体"/>
          <w:color w:val="000000" w:themeColor="text1"/>
          <w:sz w:val="24"/>
          <w:szCs w:val="24"/>
          <w:highlight w:val="none"/>
          <w14:textFill>
            <w14:solidFill>
              <w14:schemeClr w14:val="tx1"/>
            </w14:solidFill>
          </w14:textFill>
        </w:rPr>
        <w:t xml:space="preserve">内完成存量系统迁移、数据迁移和测试，</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b/>
          <w:bCs/>
          <w:color w:val="000000" w:themeColor="text1"/>
          <w:sz w:val="24"/>
          <w:szCs w:val="24"/>
          <w:highlight w:val="none"/>
          <w14:textFill>
            <w14:solidFill>
              <w14:schemeClr w14:val="tx1"/>
            </w14:solidFill>
          </w14:textFill>
        </w:rPr>
        <w:t xml:space="preserve">天</w:t>
      </w:r>
      <w:r>
        <w:rPr>
          <w:rFonts w:hint="eastAsia" w:ascii="宋体" w:hAnsi="宋体" w:eastAsia="宋体" w:cs="宋体"/>
          <w:color w:val="000000" w:themeColor="text1"/>
          <w:sz w:val="24"/>
          <w:szCs w:val="24"/>
          <w:highlight w:val="none"/>
          <w14:textFill>
            <w14:solidFill>
              <w14:schemeClr w14:val="tx1"/>
            </w14:solidFill>
          </w14:textFill>
        </w:rPr>
        <w:t xml:space="preserve">后仍未完成迁移工作，</w:t>
      </w:r>
      <w:r>
        <w:rPr>
          <w:rFonts w:hint="eastAsia" w:ascii="宋体" w:hAnsi="宋体" w:eastAsia="宋体" w:cs="宋体"/>
          <w:b/>
          <w:bCs/>
          <w:color w:val="000000" w:themeColor="text1"/>
          <w:sz w:val="24"/>
          <w:szCs w:val="24"/>
          <w:highlight w:val="none"/>
          <w14:textFill>
            <w14:solidFill>
              <w14:schemeClr w14:val="tx1"/>
            </w14:solidFill>
          </w14:textFill>
        </w:rPr>
        <w:t xml:space="preserve">采购人有权</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中止合同并重新选择云平台服务商</w:t>
      </w:r>
      <w:bookmarkEnd w:id="34"/>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right="0" w:firstLine="482"/>
        <w:keepLines w:val="0"/>
        <w:keepNext w:val="0"/>
        <w:pageBreakBefore w:val="0"/>
        <w:spacing w:after="0" w:line="440" w:lineRule="exact"/>
        <w:widowControl/>
        <w:rPr>
          <w:rFonts w:hint="eastAsia" w:ascii="宋体" w:hAnsi="宋体" w:eastAsia="宋体" w:cs="宋体"/>
          <w:b/>
          <w:bCs/>
          <w:color w:val="000000" w:themeColor="text1"/>
          <w:sz w:val="24"/>
          <w:szCs w:val="24"/>
          <w:highlight w:val="none"/>
          <w14:textFill>
            <w14:solidFill>
              <w14:schemeClr w14:val="tx1"/>
            </w14:solidFill>
          </w14:textFill>
        </w:rPr>
        <w:outlineLvl w:val="9"/>
      </w:pPr>
      <w:r/>
      <w:bookmarkStart w:id="35" w:name="一云平台技术要求"/>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24"/>
          <w:szCs w:val="24"/>
          <w:highlight w:val="none"/>
          <w14:textFill>
            <w14:solidFill>
              <w14:schemeClr w14:val="tx1"/>
            </w14:solidFill>
          </w14:textFill>
        </w:rPr>
        <w:t xml:space="preserve">云平台技术要求</w:t>
      </w:r>
      <w:bookmarkEnd w:id="35"/>
      <w:r/>
      <w:r/>
    </w:p>
    <w:p>
      <w:pPr>
        <w:ind w:right="0" w:firstLine="480"/>
        <w:keepLines w:val="0"/>
        <w:keepNext w:val="0"/>
        <w:pageBreakBefore w:val="0"/>
        <w:spacing w:after="0"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服务目标：为数字丰县建设提供基础设施支撑能力，满足迁入单位业务服务需求，保障系统应用可靠运行。供应商提供符合云平台要求的服务能力，供应商除提供云计算资源外还需做好运维保障服务，服务期内更需要对业务部署建设提供指导性服务（包括业务部署技术标准、业务流程、应急演练、管理制度、培训等），以便各系统迁入单位开展有效的业务部署实施。</w:t>
      </w:r>
      <w:r/>
    </w:p>
    <w:p>
      <w:pPr>
        <w:ind w:firstLine="480"/>
        <w:jc w:val="left"/>
        <w:keepLines w:val="0"/>
        <w:keepNext w:val="0"/>
        <w:pageBreakBefore w:val="0"/>
        <w:spacing w:line="440" w:lineRule="exact"/>
        <w:rPr>
          <w:rFonts w:hint="eastAsia" w:ascii="宋体" w:hAnsi="宋体" w:eastAsia="宋体" w:cs="宋体"/>
          <w:strike w:val="0"/>
          <w:color w:val="000000" w:themeColor="text1"/>
          <w:sz w:val="24"/>
          <w:szCs w:val="24"/>
          <w:highlight w:val="none"/>
          <w:lang w:eastAsia="zh-CN"/>
          <w14:textFill>
            <w14:solidFill>
              <w14:schemeClr w14:val="tx1"/>
            </w14:solidFill>
          </w14:textFill>
        </w:rPr>
        <w:outlineLvl w:val="2"/>
      </w:pPr>
      <w:r/>
      <w:bookmarkStart w:id="36" w:name="_Toc26158"/>
      <w:r/>
      <w:bookmarkStart w:id="37" w:name="五项目实施要求"/>
      <w:r>
        <w:rPr>
          <w:rFonts w:hint="eastAsia" w:ascii="宋体" w:hAnsi="宋体" w:eastAsia="宋体" w:cs="宋体"/>
          <w:strike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strike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strike w:val="0"/>
          <w:color w:val="000000" w:themeColor="text1"/>
          <w:sz w:val="24"/>
          <w:szCs w:val="24"/>
          <w:highlight w:val="none"/>
          <w14:textFill>
            <w14:solidFill>
              <w14:schemeClr w14:val="tx1"/>
            </w14:solidFill>
          </w14:textFill>
        </w:rPr>
        <w:t xml:space="preserve">云平台要求</w:t>
      </w:r>
      <w:bookmarkEnd w:id="36"/>
      <w:r/>
      <w:r/>
    </w:p>
    <w:tbl>
      <w:tblPr>
        <w:tblStyle w:val="1105"/>
        <w:tblW w:w="909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18"/>
        <w:gridCol w:w="1295"/>
        <w:gridCol w:w="7079"/>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指标项</w:t>
            </w:r>
            <w:r/>
          </w:p>
        </w:tc>
        <w:tc>
          <w:tcPr>
            <w:shd w:val="clear" w:color="auto" w:fill="auto"/>
            <w:tcBorders>
              <w:top w:val="single" w:color="000000" w:sz="4" w:space="0"/>
              <w:left w:val="single" w:color="000000" w:sz="4" w:space="0"/>
              <w:bottom w:val="single" w:color="000000" w:sz="4" w:space="0"/>
              <w:right w:val="single" w:color="000000" w:sz="4" w:space="0"/>
            </w:tcBorders>
            <w:tcW w:w="7079"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规格要求</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技术</w:t>
            </w:r>
            <w:r/>
          </w:p>
          <w:p>
            <w:pPr>
              <w:jc w:val="center"/>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架构</w:t>
            </w:r>
            <w:r/>
          </w:p>
        </w:tc>
        <w:tc>
          <w:tcPr>
            <w:shd w:val="clear" w:color="auto" w:fill="auto"/>
            <w:tcBorders>
              <w:top w:val="single" w:color="000000" w:sz="4" w:space="0"/>
              <w:left w:val="single" w:color="000000" w:sz="4" w:space="0"/>
              <w:bottom w:val="single" w:color="000000" w:sz="4" w:space="0"/>
              <w:right w:val="single" w:color="000000" w:sz="4" w:space="0"/>
            </w:tcBorders>
            <w:tcW w:w="7079" w:type="dxa"/>
            <w:vAlign w:val="center"/>
            <w:textDirection w:val="lrTb"/>
            <w:noWrap w:val="false"/>
          </w:tcPr>
          <w:p>
            <w:pPr>
              <w:jc w:val="left"/>
              <w:keepLines w:val="0"/>
              <w:keepNext w:val="0"/>
              <w:pageBreakBefore w:val="0"/>
              <w:spacing w:line="440" w:lineRule="exact"/>
              <w:widowControl/>
              <w:rPr>
                <w:rFonts w:hint="default" w:ascii="宋体" w:hAnsi="宋体" w:eastAsia="宋体" w:cs="宋体"/>
                <w:i w:val="0"/>
                <w:iCs w:val="0"/>
                <w:strike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云原生微服务架构，平台各组件之间解耦。</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079"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所有产品（组件）采用分布式技术架构，平台采用高可用技术，避免单点故障。</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云管理平台</w:t>
            </w:r>
            <w:r/>
          </w:p>
        </w:tc>
        <w:tc>
          <w:tcPr>
            <w:shd w:val="clear" w:color="auto" w:fill="auto"/>
            <w:tcBorders>
              <w:top w:val="single" w:color="000000" w:sz="4" w:space="0"/>
              <w:left w:val="single" w:color="000000" w:sz="4" w:space="0"/>
              <w:bottom w:val="single" w:color="000000" w:sz="4" w:space="0"/>
              <w:right w:val="single" w:color="000000" w:sz="4" w:space="0"/>
            </w:tcBorders>
            <w:tcW w:w="7079" w:type="dxa"/>
            <w:vAlign w:val="center"/>
            <w:textDirection w:val="lrTb"/>
            <w:noWrap w:val="false"/>
          </w:tcPr>
          <w:p>
            <w:pPr>
              <w:jc w:val="left"/>
              <w:keepLines w:val="0"/>
              <w:keepNext w:val="0"/>
              <w:pageBreakBefore w:val="0"/>
              <w:spacing w:line="440" w:lineRule="exact"/>
              <w:widowControl/>
              <w:rPr>
                <w:rFonts w:hint="default" w:ascii="宋体" w:hAnsi="宋体" w:eastAsia="宋体" w:cs="宋体"/>
                <w:i w:val="0"/>
                <w:iCs w:val="0"/>
                <w:strike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▲平台组件和产品管理组件均采用容器部署架构且Openstack不低于Vitoria版本。（提供软件功能界面截图证明并加盖投标供应商电子签章）</w:t>
            </w:r>
            <w:r/>
          </w:p>
        </w:tc>
      </w:tr>
      <w:tr>
        <w:trPr>
          <w:trHeight w:val="1022"/>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right w:val="single" w:color="000000" w:sz="4" w:space="0"/>
            </w:tcBorders>
            <w:tcW w:w="7079"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▲平台需具备一云多芯的能力。（提供“一云多芯”稳定安全运行优秀案例）</w:t>
            </w:r>
            <w:r/>
          </w:p>
        </w:tc>
      </w:tr>
      <w:tr>
        <w:trPr>
          <w:trHeight w:val="37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079"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平台具备组织结构管理和用户与角色管理功能，提供虚拟数据中心、部门管理、角色管理和用户管理配置，支持部门、子部门创建功能，支持部门分级，无分级数限制，满足不同场景下的需求,支持双因子认证、密码强度规则设置，满足客户安全需求。</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079"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具备分类展示资源池的服务业务，提供给用户的全部计算、存储、网络、安全防护等资源及服务进行全局展现。提供用户业务、运行状态、告警信息、资源及监测方面的功能。面向运维提供管理员门户，支持云管理平台云资源运营、运维管理功能界面展现及操作，提供管理员网络监控、资源运维、内部管理等统一管理界面。</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079"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具备与第三方多云监测平台接口互通能力，包括但不限于对整体平台的实时监测、安全告警、流量状况等。</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079"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▲具备对服务器、存储、网络、安全等硬件设备的实时监控，包括硬件状态、性能指标等能够自动检测故障，并提供告警功能，快速定位和解决问题。（提供软件功能界面截图证明并加盖投标供应商电子签章）</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079"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云平台需提供计量报表并支持下载，报表内容包括VDC、部门、用户、状态、区域、产品、实例ID、订单ID、计费开始/结束时间、计量指标、计量单位、使用量、计量值、单价和费用，支持自定义报表策略，支持实时和按周期性发送计量报表到用户指定邮箱。</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i w:val="0"/>
                <w:iCs w:val="0"/>
                <w:strike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079"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平台需支持自定义计费项和套餐项配置，计费项配置内容需包括产品类型名称和编码、计费项名称和编码、价格影响因子、是否阶梯定价、价格等，套餐项配置内容包括产品类型名称和编码、套餐项名称和编码、价格等，支持查看用户总账单及账单明细，支持根据区域、产品、部门、主用户、子用户和时间查询账单明细，支持下载账单。</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i w:val="0"/>
                <w:iCs w:val="0"/>
                <w:strike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计算虚拟化</w:t>
            </w:r>
            <w:r/>
          </w:p>
        </w:tc>
        <w:tc>
          <w:tcPr>
            <w:shd w:val="clear" w:color="auto" w:fill="auto"/>
            <w:tcBorders>
              <w:top w:val="single" w:color="000000" w:sz="4" w:space="0"/>
              <w:left w:val="single" w:color="000000" w:sz="4" w:space="0"/>
              <w:bottom w:val="single" w:color="000000" w:sz="4" w:space="0"/>
              <w:right w:val="single" w:color="000000" w:sz="4" w:space="0"/>
            </w:tcBorders>
            <w:tcW w:w="7079"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w:t>
            </w: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支持单一集群，多架构CPU统一管理（如：intel，鲲鹏，海光，飞腾等），支持管理国产加速设备，支持直通GPU及vGPU设备管理。（需提供CMA或CNAS检测机构出具的检测报告复印件并加盖投标供应商电子签章）</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i w:val="0"/>
                <w:iCs w:val="0"/>
                <w:strike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079"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支持计算节点CPU特征设置，增强多型号CPU的兼容性及虚拟机CPU特征的灵活配置。</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i w:val="0"/>
                <w:iCs w:val="0"/>
                <w:strike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079"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支持虚拟机重建功能，可通过镜像重建虚拟机。</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i w:val="0"/>
                <w:iCs w:val="0"/>
                <w:strike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079"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支持虚拟机实例的生命周期管理功能，主要包括虚机实例的创建、开启、关闭、编辑实例名称、调整实例大小、暂停实例、挂起实例、废弃实例、锁定实例、删除实例、重建实例、软/硬重启、接口分离/连接、绑定和解绑浮动IP等功能。</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i w:val="0"/>
                <w:iCs w:val="0"/>
                <w:strike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079"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计算虚拟化需具备超配比动态调整、跨CPU热迁移、内存故障预测、CPU/内存热升级、实例迁入或迁出云服务器组、虚拟机调度、单计算节点超配比设置、一云多芯管理、网卡多队列、热迁移加密的功能。</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i w:val="0"/>
                <w:iCs w:val="0"/>
                <w:strike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存储虚拟化</w:t>
            </w:r>
            <w:r/>
          </w:p>
        </w:tc>
        <w:tc>
          <w:tcPr>
            <w:shd w:val="clear" w:color="auto" w:fill="auto"/>
            <w:tcBorders>
              <w:top w:val="single" w:color="000000" w:sz="4" w:space="0"/>
              <w:left w:val="single" w:color="000000" w:sz="4" w:space="0"/>
              <w:bottom w:val="single" w:color="000000" w:sz="4" w:space="0"/>
              <w:right w:val="single" w:color="000000" w:sz="4" w:space="0"/>
            </w:tcBorders>
            <w:tcW w:w="7079"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通过虚拟化适配模块对接主流品牌及型号存储设备及软硬一体存储产品，已适配对接不低于3种品牌软硬一体存储驱动，可直接部署使用。（需提供CMA或CNAS检测机构出具的检测报告复印件并加盖投标供应商电子签章）</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i w:val="0"/>
                <w:iCs w:val="0"/>
                <w:strike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079"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支持对备份数据的去重，可以做到按照一定重删粒度，相同数据完成去重，在使用同一个镜像创建的两个系统盘，在没有其它数据改变的情况下，数据重删率需达到90%以上。</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i w:val="0"/>
                <w:iCs w:val="0"/>
                <w:strike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079"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strike w:val="0"/>
                <w:color w:val="000000" w:themeColor="text1"/>
                <w:sz w:val="24"/>
                <w:szCs w:val="24"/>
                <w:highlight w:val="none"/>
                <w14:textFill>
                  <w14:solidFill>
                    <w14:schemeClr w14:val="tx1"/>
                  </w14:solidFill>
                </w14:textFill>
              </w:rPr>
              <w:t xml:space="preserve">平台支持 NVMe 高速存储部署，具备高性能IO能力</w:t>
            </w: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i w:val="0"/>
                <w:iCs w:val="0"/>
                <w:strike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079"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为了满足不同的存储类型需求，支持对块、文件、对象三种存储类型的统一管理。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i w:val="0"/>
                <w:iCs w:val="0"/>
                <w:strike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079"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支持磁盘故障预测功能，提前发现故障磁盘，提升数据可靠性。</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i w:val="0"/>
                <w:iCs w:val="0"/>
                <w:strike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网络虚拟化</w:t>
            </w:r>
            <w:r/>
          </w:p>
        </w:tc>
        <w:tc>
          <w:tcPr>
            <w:shd w:val="clear" w:color="auto" w:fill="auto"/>
            <w:tcBorders>
              <w:top w:val="single" w:color="000000" w:sz="4" w:space="0"/>
              <w:left w:val="single" w:color="000000" w:sz="4" w:space="0"/>
              <w:bottom w:val="single" w:color="000000" w:sz="4" w:space="0"/>
              <w:right w:val="single" w:color="000000" w:sz="4" w:space="0"/>
            </w:tcBorders>
            <w:tcW w:w="7079"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▲支持分布式路由，即网络流量可实现节点本地化转发，提升网络转发效率与高可用能力。在关闭所有网络节点的情况下，VPC 内已绑定浮动 IP（FIP）的云服务器仍可正常相互通信，有效避免网络节点单点故障，保障业务网络持续稳定运行。（需提供CMA或CNAS检测机构出具的检测报告复印件并加盖投标供应商电子签章）</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i w:val="0"/>
                <w:iCs w:val="0"/>
                <w:strike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079"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平台支持网络安全架构平滑升级，可由传统 iptables 防火墙无缝切换至 OVS（Open vSwitch）分布式防火墙，实现网络转发与安全策略分布式部署，提升并发处理能力与系统高可用性，满足云平台多租户、高可靠、高性能的网络安全防护需求。整个切换过程用户数据流量中断时间不超过1分钟，可满足高可用、高可靠场景下的业务连续性要求。</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i w:val="0"/>
                <w:iCs w:val="0"/>
                <w:strike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079"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云平台划分独立的业务网络、存储网络、服务产品管理调度网络、宿主机运维网络、物理节点带外管理网络等，不同网络之间逻辑隔离；业务网络和存储网络采用万兆冗余链路。需提供平台网络架构图。</w:t>
            </w:r>
            <w:r/>
          </w:p>
        </w:tc>
      </w:tr>
    </w:tbl>
    <w:p>
      <w:pPr>
        <w:ind w:firstLine="480"/>
        <w:jc w:val="left"/>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jc w:val="left"/>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38" w:name="_Toc18290"/>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计算资源池要求</w:t>
      </w:r>
      <w:bookmarkEnd w:id="38"/>
      <w:r/>
      <w:r/>
    </w:p>
    <w:tbl>
      <w:tblPr>
        <w:tblStyle w:val="1105"/>
        <w:tblW w:w="909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15"/>
        <w:gridCol w:w="1671"/>
        <w:gridCol w:w="6306"/>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指标项</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规格要求</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计算资源池</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支持主流操作系统，如Windows Server系列、Linux发行版、国产Linux等，需要正版授权。</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支持用户对云主机有完全的控制权，具有管理员权限，使用方式与传统物理主机完全一致。</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支持虚拟路由、虚拟交换机和弹性IP，用户可以自定义虚拟主机的网络拓扑和IP地址。</w:t>
            </w:r>
            <w:r/>
          </w:p>
        </w:tc>
      </w:tr>
      <w:tr>
        <w:trPr>
          <w:trHeight w:val="367"/>
        </w:trPr>
        <w:tc>
          <w:tcPr>
            <w:shd w:val="clear" w:color="auto" w:fill="auto"/>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支持创建虚拟主机时，可制定用户预选配置好的镜像文件作为模板。虚拟主机支持增量备份功能，提供备份效率，减小备份占用空间。</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支持虚拟主机底层分布式文件系统，每个虚拟主机的镜像存储达到多副本可靠性。</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支持计算能力的水平伸缩，通过与负载均衡配合实现水平伸缩。</w:t>
            </w:r>
            <w:r/>
          </w:p>
        </w:tc>
      </w:tr>
    </w:tbl>
    <w:p>
      <w:pPr>
        <w:ind w:firstLine="480"/>
        <w:jc w:val="left"/>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jc w:val="left"/>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39" w:name="_Toc22354"/>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存储资源池要求</w:t>
      </w:r>
      <w:bookmarkEnd w:id="39"/>
      <w:r/>
      <w:r/>
    </w:p>
    <w:tbl>
      <w:tblPr>
        <w:tblStyle w:val="1105"/>
        <w:tblW w:w="909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15"/>
        <w:gridCol w:w="1671"/>
        <w:gridCol w:w="6306"/>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指标项</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规格要求</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存储资源池</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支持集中磁盘阵列、分布式存储两大类存储资源池，并可以根据使用需求提供本地大容量的硬盘存储空间。</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具备数据冗余备份保护能力（磁盘容错或三副本技术），数据不因存储问题而导致无法访问，应用不因存储而中断。在硬盘故障后可实现快速重构，避免重构过程中其他硬盘损坏导致的数据丢失风险。</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支持对存储系统进行按月监测，发现实际监测值超过存储容量的60%，应增加存储资源。</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备份存储需具备可靠的数据保护机制，不能因硬盘故障等原因导致数据丢失。</w:t>
            </w:r>
            <w:r/>
          </w:p>
        </w:tc>
      </w:tr>
    </w:tbl>
    <w:p>
      <w:pPr>
        <w:ind w:firstLine="480"/>
        <w:jc w:val="left"/>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jc w:val="left"/>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40" w:name="_Toc17561"/>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网络资源池要求</w:t>
      </w:r>
      <w:bookmarkEnd w:id="40"/>
      <w:r/>
      <w:r/>
    </w:p>
    <w:tbl>
      <w:tblPr>
        <w:tblStyle w:val="1105"/>
        <w:tblW w:w="909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15"/>
        <w:gridCol w:w="1671"/>
        <w:gridCol w:w="6306"/>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指标项</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规格要求</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网络资源池</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互联网专线及政务外网专线带宽不小1Gbps，公网IP地址不小于150个，运营商链路接入不小于2家。</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支持基于VxLAN、EVPN等技术提供相关网络服务，SDN网络可以与云管理平台实现自动化动态的网络资源调配和隔离。</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迁移上云的系统平台，不能因云化部署而改变原有安全区域划分和互访规则，各业务系统之间应实现VPC逻辑隔离，单个业务系统通过安全组等技术逻辑隔离。</w:t>
            </w:r>
            <w:r/>
          </w:p>
        </w:tc>
      </w:tr>
    </w:tbl>
    <w:p>
      <w:pPr>
        <w:jc w:val="left"/>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jc w:val="left"/>
        <w:keepLines w:val="0"/>
        <w:keepNext w:val="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2"/>
      </w:pPr>
      <w:r/>
      <w:bookmarkStart w:id="41" w:name="_Toc15933"/>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安全资源池要求</w:t>
      </w:r>
      <w:bookmarkEnd w:id="41"/>
      <w:r/>
      <w:r/>
    </w:p>
    <w:tbl>
      <w:tblPr>
        <w:tblStyle w:val="1105"/>
        <w:tblW w:w="909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15"/>
        <w:gridCol w:w="1671"/>
        <w:gridCol w:w="6306"/>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指标项</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规格要求</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安全资源池</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平台应按照云中心平台等保三级标准要求设计，不同分区需分别适配对应安全设备，平台安全产品包含但不限于堡垒机、日志审计、VPN接入服务、抗DDoS攻击、DDOS高防、WEB网站实时防护、WAF防护、数据库审计、数据库防火墙、数据安全中心等。</w:t>
            </w:r>
            <w:r/>
          </w:p>
        </w:tc>
      </w:tr>
    </w:tbl>
    <w:p>
      <w:pPr>
        <w:jc w:val="left"/>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jc w:val="left"/>
        <w:keepLines w:val="0"/>
        <w:keepNext w:val="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2"/>
      </w:pPr>
      <w:r/>
      <w:bookmarkStart w:id="42" w:name="_Toc1115"/>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云服务器要求</w:t>
      </w:r>
      <w:bookmarkEnd w:id="42"/>
      <w:r/>
      <w:r/>
    </w:p>
    <w:tbl>
      <w:tblPr>
        <w:tblStyle w:val="1105"/>
        <w:tblW w:w="909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57"/>
        <w:gridCol w:w="1821"/>
        <w:gridCol w:w="6216"/>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2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指标项</w:t>
            </w:r>
            <w:r/>
          </w:p>
        </w:tc>
        <w:tc>
          <w:tcPr>
            <w:shd w:val="clear" w:color="auto" w:fill="auto"/>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规格要求</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21"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云服务器</w:t>
            </w:r>
            <w:r/>
          </w:p>
        </w:tc>
        <w:tc>
          <w:tcPr>
            <w:shd w:val="clear" w:color="auto" w:fill="auto"/>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▲支持在控制台界面直接选配标准规格和自定义规格两种方式。（需提供CMA或CNAS检测机构出具的检测报告复印件并加盖投标供应商电子签章）</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21"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▲支持云服务器变更实例类型，可根据配置选择要变更的实例类型，可以从一个计算资源池变更到另一个计算资源池。（需提供CMA或CNAS检测机构出具的检测报告复印件并加盖投标供应商电子签章）</w:t>
            </w:r>
            <w:r/>
          </w:p>
        </w:tc>
      </w:tr>
      <w:tr>
        <w:trPr>
          <w:trHeight w:val="413"/>
        </w:trPr>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21"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支持活跃度评估，包括服务异常、网络异常、硬件故障，根据业务优先级进行疏散；支持设置自动疏散开关，在开关关闭时，仅进行活跃度评估，不进行自动疏散；支持设置计算节点黑名单，黑名单计算节点不会触发自动疏散；支持基于CPU/内存使用率的计算节点资源平衡，支持自动生成基于存储资源平衡的优化方案；自动疏散工具本身支持高可用，保证系统的稳定性和可靠性。（需提供CMA或CNAS检测机构出具的检测报告复印件并加盖投标供应商电子签章）</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21"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支持虚拟机跨中心容灾，所有操作均在云管理界面统一配置，支持自动化备份、容灾主备切换等功能。</w:t>
            </w:r>
            <w:r/>
          </w:p>
        </w:tc>
      </w:tr>
      <w:tr>
        <w:trPr>
          <w:trHeight w:val="401"/>
        </w:trPr>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21"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支持云服务器生命周期管理包括开通、删除、开机、关机、重启、镜像与磁盘管理、安全组与网络管理、弹性公网IP管理、变更规格等。</w:t>
            </w:r>
            <w:r/>
          </w:p>
        </w:tc>
      </w:tr>
      <w:tr>
        <w:trPr>
          <w:trHeight w:val="884"/>
        </w:trPr>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21"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支持云服务器创建可选择区域、可用区、架构、规格、镜像、系统盘大小、数据盘大小、系统盘和数据盘的快照策略、设置虚拟私有网络、子网、安全组、弹性公网IP、设置登录密码或创建后设置密码、端口设置、云服务器组、云服务器名称、数量、实例自定义数据注入等，镜像支持公共镜像、私有镜像、共享镜像。</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21"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国产操作系统适配：支持提供国产操作系统镜像，包括麒麟、统信、Openeuler、Anolis OS等。</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21"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支持提供详细的云服务器CPU、内存、磁盘、网络监控等功能。</w:t>
            </w:r>
            <w:r/>
          </w:p>
        </w:tc>
      </w:tr>
    </w:tbl>
    <w:p>
      <w:pPr>
        <w:ind w:firstLine="480"/>
        <w:jc w:val="left"/>
        <w:keepLines w:val="0"/>
        <w:keepNext w:val="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ind w:firstLine="480"/>
        <w:jc w:val="left"/>
        <w:keepLines w:val="0"/>
        <w:keepNext w:val="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2"/>
      </w:pPr>
      <w:r/>
      <w:bookmarkStart w:id="43" w:name="_Toc29328"/>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（7）云物理主机要求</w:t>
      </w:r>
      <w:bookmarkEnd w:id="43"/>
      <w:r/>
      <w:r/>
    </w:p>
    <w:tbl>
      <w:tblPr>
        <w:tblStyle w:val="1105"/>
        <w:tblW w:w="909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57"/>
        <w:gridCol w:w="1821"/>
        <w:gridCol w:w="6216"/>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2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指标项</w:t>
            </w:r>
            <w:r/>
          </w:p>
        </w:tc>
        <w:tc>
          <w:tcPr>
            <w:shd w:val="clear" w:color="auto" w:fill="auto"/>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规格要求</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21"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云物理主机</w:t>
            </w:r>
            <w:r/>
          </w:p>
        </w:tc>
        <w:tc>
          <w:tcPr>
            <w:shd w:val="clear" w:color="auto" w:fill="auto"/>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▲支持本地盘云物理主机实例创建、删除私有镜像。（需提供CMA或CNAS检测机构出具的检测报告复印件并加盖投标供应商电子签章）</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21"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支持开通云物理主机/裸金属服务器，支持在Web控制台自动开通、删除、启动、关机、重启等服务器生命周期管理操作，支持在控制台重装操作系统功能。（需提供CMA或CNAS检测机构出具的检测报告复印件并加盖投标供应商电子签章）</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21"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支持在Web控制台远程登陆页面功能，用户可以通过VNC对已开通云物理主机实例进行管理。</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21"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strike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支持安全组设置，实现外部访问或对外访问规则限制，用户还可以自定义安全组及安全组内与组间裸金属服务器的访问规则，加强裸金属服务器的安全保护。支持安全组的更新。</w:t>
            </w:r>
            <w:r/>
          </w:p>
        </w:tc>
      </w:tr>
    </w:tbl>
    <w:p>
      <w:pPr>
        <w:keepLines w:val="0"/>
        <w:keepNext w:val="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ind w:firstLine="480"/>
        <w:jc w:val="left"/>
        <w:keepLines w:val="0"/>
        <w:keepNext w:val="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2"/>
      </w:pPr>
      <w:r/>
      <w:bookmarkStart w:id="44" w:name="_Toc6451"/>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云硬盘要求</w:t>
      </w:r>
      <w:bookmarkEnd w:id="44"/>
      <w:r/>
      <w:r/>
    </w:p>
    <w:tbl>
      <w:tblPr>
        <w:tblStyle w:val="1105"/>
        <w:tblW w:w="909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57"/>
        <w:gridCol w:w="1821"/>
        <w:gridCol w:w="6216"/>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2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指标项</w:t>
            </w:r>
            <w:r/>
          </w:p>
        </w:tc>
        <w:tc>
          <w:tcPr>
            <w:shd w:val="clear" w:color="auto" w:fill="auto"/>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规格要求</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21"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云硬盘</w:t>
            </w:r>
            <w:r/>
          </w:p>
        </w:tc>
        <w:tc>
          <w:tcPr>
            <w:shd w:val="clear" w:color="auto" w:fill="auto"/>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具备数据冗余备份保护能力、多磁盘挂载、动态扩展。</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21"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支持LUN(卷)在线或离线伸缩功能。</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21"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支持用户自助服务门户和接口功能。</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21"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支持云硬盘的性能监控、监控数据分析、异常告警、日志管理等功能。</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21"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支持云硬盘任意时刻的磁盘快照功能，含快照制作、快照回滚；支持提供基于快照的快速数据备份与恢复。</w:t>
            </w:r>
            <w:r/>
          </w:p>
        </w:tc>
      </w:tr>
    </w:tbl>
    <w:p>
      <w:pPr>
        <w:jc w:val="left"/>
        <w:keepLines w:val="0"/>
        <w:keepNext w:val="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ind w:firstLine="480"/>
        <w:jc w:val="left"/>
        <w:keepLines w:val="0"/>
        <w:keepNext w:val="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2"/>
      </w:pPr>
      <w:r/>
      <w:bookmarkStart w:id="45" w:name="_Toc30906"/>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（9）对象存储要求</w:t>
      </w:r>
      <w:bookmarkEnd w:id="45"/>
      <w:r/>
      <w:r/>
    </w:p>
    <w:tbl>
      <w:tblPr>
        <w:tblStyle w:val="1105"/>
        <w:tblW w:w="909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57"/>
        <w:gridCol w:w="1821"/>
        <w:gridCol w:w="6216"/>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2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指标项</w:t>
            </w:r>
            <w:r/>
          </w:p>
        </w:tc>
        <w:tc>
          <w:tcPr>
            <w:shd w:val="clear" w:color="auto" w:fill="auto"/>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规格要求</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21"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对象存储</w:t>
            </w:r>
            <w:r/>
          </w:p>
        </w:tc>
        <w:tc>
          <w:tcPr>
            <w:shd w:val="clear" w:color="auto" w:fill="auto"/>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支持存储资源包，满足存储资源消耗的抵扣。资源包绑桶授权、解绑授权、删除（退订），单个资源包可为多个存储桶提供容量。</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21"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支持存储桶生命周期内，包括存储桶创建、删除。</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21"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支持存储桶生命周期管理，为整个存储桶/指定前缀创建生命周期规则，自定义文件上传后自动删除时间，自定义碎片自动删除时间，特定文件自动转为低频存储时间。</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21"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支持开通对象存储后，自动生成存储桶的访问域名，域名访问通过https协议进行传输加密。</w:t>
            </w:r>
            <w:r/>
          </w:p>
        </w:tc>
      </w:tr>
    </w:tbl>
    <w:p>
      <w:pPr>
        <w:keepLines w:val="0"/>
        <w:keepNext w:val="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ind w:firstLine="480"/>
        <w:jc w:val="left"/>
        <w:keepLines w:val="0"/>
        <w:keepNext w:val="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2"/>
      </w:pPr>
      <w:r/>
      <w:bookmarkStart w:id="46" w:name="_Toc10821"/>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（10）虚拟私有网络VPC要求</w:t>
      </w:r>
      <w:bookmarkEnd w:id="46"/>
      <w:r/>
      <w:r/>
    </w:p>
    <w:tbl>
      <w:tblPr>
        <w:tblStyle w:val="1105"/>
        <w:tblW w:w="909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13"/>
        <w:gridCol w:w="2276"/>
        <w:gridCol w:w="5905"/>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指标项</w:t>
            </w:r>
            <w:r/>
          </w:p>
        </w:tc>
        <w:tc>
          <w:tcPr>
            <w:shd w:val="clear" w:color="auto" w:fill="auto"/>
            <w:tcBorders>
              <w:top w:val="single" w:color="000000" w:sz="4" w:space="0"/>
              <w:left w:val="single" w:color="000000" w:sz="4" w:space="0"/>
              <w:bottom w:val="single" w:color="000000" w:sz="4" w:space="0"/>
              <w:right w:val="single" w:color="000000" w:sz="4" w:space="0"/>
            </w:tcBorders>
            <w:tcW w:w="590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规格要求</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7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虚拟私有网络VPC</w:t>
            </w:r>
            <w:r/>
          </w:p>
        </w:tc>
        <w:tc>
          <w:tcPr>
            <w:shd w:val="clear" w:color="auto" w:fill="auto"/>
            <w:tcBorders>
              <w:top w:val="single" w:color="000000" w:sz="4" w:space="0"/>
              <w:left w:val="single" w:color="000000" w:sz="4" w:space="0"/>
              <w:bottom w:val="single" w:color="000000" w:sz="4" w:space="0"/>
              <w:right w:val="single" w:color="000000" w:sz="4" w:space="0"/>
            </w:tcBorders>
            <w:tcW w:w="590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 Overlay 技术，VPC之间实现完全逻辑隔离，内部IP地址任意规划。</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90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支持软件定义网络技术，可自定义网络范围、路由规则、安全访问策略等，可根据用户业务需求进行弹性扩缩容、按需取用，资源即开即用。</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90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▲支持安全组，可添加安全组入、出方向规则，包括IPv4、IPv6两种类型的规则。添加白名单、黑名单两种放通方式，以及不同协议端口的规则添加。</w:t>
            </w: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（需提供CMA或CNAS检测机构出具的检测报告复印件并加盖投标供应商电子签章）</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7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90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支持对于已经创建的云服务器变更所属的VPC网络，解决业务迁移和网络调整需求。</w:t>
            </w:r>
            <w:r/>
          </w:p>
        </w:tc>
      </w:tr>
    </w:tbl>
    <w:p>
      <w:pPr>
        <w:keepLines w:val="0"/>
        <w:keepNext w:val="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ind w:firstLine="480"/>
        <w:jc w:val="left"/>
        <w:keepLines w:val="0"/>
        <w:keepNext w:val="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2"/>
      </w:pPr>
      <w:r/>
      <w:bookmarkStart w:id="47" w:name="_Toc1520"/>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（11）弹性伸缩要求</w:t>
      </w:r>
      <w:bookmarkEnd w:id="47"/>
      <w:r/>
      <w:r/>
    </w:p>
    <w:tbl>
      <w:tblPr>
        <w:tblStyle w:val="1105"/>
        <w:tblW w:w="909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57"/>
        <w:gridCol w:w="1821"/>
        <w:gridCol w:w="6216"/>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2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指标项</w:t>
            </w:r>
            <w:r/>
          </w:p>
        </w:tc>
        <w:tc>
          <w:tcPr>
            <w:shd w:val="clear" w:color="auto" w:fill="auto"/>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规格要求</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21"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弹性伸缩</w:t>
            </w:r>
            <w:r/>
          </w:p>
        </w:tc>
        <w:tc>
          <w:tcPr>
            <w:shd w:val="clear" w:color="auto" w:fill="auto"/>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▲支持不少于5个弹性公网IP或共享带宽调整；支持伸缩带宽任务创建管理、查看。</w:t>
            </w: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（需提供CMA或CNAS检测机构出具的检测报告复印件并加盖投标供应商电子签章）</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21"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支持自动调整云主机、云硬盘资源数量。可添加多个伸缩规则，可设置弹性伸缩的最大、最小、期望云主机个数、冷却时间、关联的负载均衡器、关联RDS数据库。</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21"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支持配置云主机减少策略（较早迁入/较晚迁入）。弹性伸缩规则支持周期策略、定时策略和监控策略。</w:t>
            </w:r>
            <w:r/>
          </w:p>
        </w:tc>
      </w:tr>
    </w:tbl>
    <w:p>
      <w:pPr>
        <w:keepLines w:val="0"/>
        <w:keepNext w:val="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ind w:firstLine="480"/>
        <w:jc w:val="left"/>
        <w:keepLines w:val="0"/>
        <w:keepNext w:val="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2"/>
      </w:pPr>
      <w:r/>
      <w:bookmarkStart w:id="48" w:name="_Toc16371"/>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（12）负载均衡要求</w:t>
      </w:r>
      <w:bookmarkEnd w:id="48"/>
      <w:r/>
      <w:r/>
    </w:p>
    <w:tbl>
      <w:tblPr>
        <w:tblStyle w:val="1105"/>
        <w:tblW w:w="909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57"/>
        <w:gridCol w:w="1821"/>
        <w:gridCol w:w="6216"/>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2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指标项</w:t>
            </w:r>
            <w:r/>
          </w:p>
        </w:tc>
        <w:tc>
          <w:tcPr>
            <w:shd w:val="clear" w:color="auto" w:fill="auto"/>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规格要求</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21"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负载均衡</w:t>
            </w:r>
            <w:r/>
          </w:p>
        </w:tc>
        <w:tc>
          <w:tcPr>
            <w:shd w:val="clear" w:color="auto" w:fill="auto"/>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▲支持变更SSL证书，可以选择在负载均衡侧卸载SSL证书。</w:t>
            </w: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（需提供CMA或CNAS检测机构出具的检测报告复印件并加盖投标供应商电子签章）</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21"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支持负载均衡实例绑定安全组，为负载均衡提供安全防护能力。</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21"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支持指定ip地址创建负载均衡实例，指定VIP及底层承载业务的虚机地址，保证业务迁移前后的负载均衡地址不变，尽可能降低对业务的影响。</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21"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▲支持升级负载均衡规格配置，根据业务需求提升负载均衡性能。</w:t>
            </w: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（需提供CMA或CNAS检测机构出具的检测报告复印件并加盖投标供应商电子签章）</w:t>
            </w:r>
            <w:r/>
          </w:p>
        </w:tc>
      </w:tr>
    </w:tbl>
    <w:p>
      <w:pPr>
        <w:keepLines w:val="0"/>
        <w:keepNext w:val="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ind w:firstLine="480"/>
        <w:jc w:val="left"/>
        <w:keepLines w:val="0"/>
        <w:keepNext w:val="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2"/>
      </w:pPr>
      <w:r/>
      <w:bookmarkStart w:id="49" w:name="_Toc4367"/>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（13）VPN要求</w:t>
      </w:r>
      <w:bookmarkEnd w:id="49"/>
      <w:r/>
      <w:r/>
    </w:p>
    <w:tbl>
      <w:tblPr>
        <w:tblStyle w:val="1105"/>
        <w:tblW w:w="909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57"/>
        <w:gridCol w:w="1821"/>
        <w:gridCol w:w="6216"/>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2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指标项</w:t>
            </w:r>
            <w:r/>
          </w:p>
        </w:tc>
        <w:tc>
          <w:tcPr>
            <w:shd w:val="clear" w:color="auto" w:fill="auto"/>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规格要求</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21"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VPN</w:t>
            </w:r>
            <w:r/>
          </w:p>
        </w:tc>
        <w:tc>
          <w:tcPr>
            <w:shd w:val="clear" w:color="auto" w:fill="auto"/>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支持开通IPsec VPN网关，以及开通成功后访问验证，支持VPN网关重启，支持VPN连接下载配置等。</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21"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▲支持下载IPsec VPN网关配置,VPN网关支持建立多个VPN连接。</w:t>
            </w: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（提供软件功能界面截图证明并加盖投标供应商电子签章）</w:t>
            </w:r>
            <w:r/>
          </w:p>
        </w:tc>
      </w:tr>
    </w:tbl>
    <w:p>
      <w:pPr>
        <w:keepLines w:val="0"/>
        <w:keepNext w:val="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ind w:firstLine="480"/>
        <w:jc w:val="left"/>
        <w:keepLines w:val="0"/>
        <w:keepNext w:val="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2"/>
      </w:pPr>
      <w:r/>
      <w:bookmarkStart w:id="50" w:name="_Toc11710"/>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（14）容器引擎要求</w:t>
      </w:r>
      <w:bookmarkEnd w:id="50"/>
      <w:r/>
      <w:r/>
    </w:p>
    <w:tbl>
      <w:tblPr>
        <w:tblStyle w:val="1105"/>
        <w:tblW w:w="909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57"/>
        <w:gridCol w:w="1821"/>
        <w:gridCol w:w="6216"/>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2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指标项</w:t>
            </w:r>
            <w:r/>
          </w:p>
        </w:tc>
        <w:tc>
          <w:tcPr>
            <w:shd w:val="clear" w:color="auto" w:fill="auto"/>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规格要求</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21"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容器引擎</w:t>
            </w:r>
            <w:r/>
          </w:p>
        </w:tc>
        <w:tc>
          <w:tcPr>
            <w:shd w:val="clear" w:color="auto" w:fill="auto"/>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支持容器集群分配/共享，将集群分配/共享给子用户/租户,满足多团队的集群共享场景。</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21"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支持容器集群扩容功能，支持资源规格、磁盘空间、节点数等属性扩容。</w:t>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21"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支持容器集群的监控功能，监控内容包括容器节点、集群CPU已用/可用情况、内存已用/可用情况、存储空间已用/可用情况、节点健康状态、容器组健康状态。</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21"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支持容器集群Kubectl访问功能，Web Terminal可通过web界面进行操作配置。</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21"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支持服务转发模式iptables和ipvs。</w:t>
            </w:r>
            <w:r/>
          </w:p>
        </w:tc>
      </w:tr>
    </w:tbl>
    <w:p>
      <w:pPr>
        <w:keepLines w:val="0"/>
        <w:keepNext w:val="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ind w:firstLine="480"/>
        <w:jc w:val="left"/>
        <w:keepLines w:val="0"/>
        <w:keepNext w:val="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2"/>
      </w:pPr>
      <w:r/>
      <w:bookmarkStart w:id="51" w:name="_Toc16220"/>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（15）云监控要求</w:t>
      </w:r>
      <w:bookmarkEnd w:id="51"/>
      <w:r/>
      <w:r/>
    </w:p>
    <w:tbl>
      <w:tblPr>
        <w:tblStyle w:val="1105"/>
        <w:tblW w:w="909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57"/>
        <w:gridCol w:w="1821"/>
        <w:gridCol w:w="6216"/>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2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指标项</w:t>
            </w:r>
            <w:r/>
          </w:p>
        </w:tc>
        <w:tc>
          <w:tcPr>
            <w:shd w:val="clear" w:color="auto" w:fill="auto"/>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规格要求</w:t>
            </w:r>
            <w:r/>
          </w:p>
        </w:tc>
      </w:tr>
      <w:tr>
        <w:trPr>
          <w:trHeight w:val="393"/>
        </w:trPr>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21"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云监控</w:t>
            </w:r>
            <w:r/>
          </w:p>
        </w:tc>
        <w:tc>
          <w:tcPr>
            <w:shd w:val="clear" w:color="auto" w:fill="auto"/>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▲支持租户自定义时间下载数据指标报表，可导出180天的数据报表。</w:t>
            </w:r>
            <w:r>
              <w:rPr>
                <w:rFonts w:hint="eastAsia" w:ascii="宋体" w:hAnsi="宋体" w:eastAsia="宋体" w:cs="宋体"/>
                <w:i w:val="0"/>
                <w:iCs w:val="0"/>
                <w:strike w:val="0"/>
                <w:color w:val="000000" w:themeColor="text1"/>
                <w:sz w:val="24"/>
                <w:szCs w:val="24"/>
                <w:highlight w:val="none"/>
                <w:u w:val="none"/>
                <w:lang w:val="en-US" w:eastAsia="zh-CN" w:bidi="ar"/>
                <w14:textFill>
                  <w14:solidFill>
                    <w14:schemeClr w14:val="tx1"/>
                  </w14:solidFill>
                </w14:textFill>
              </w:rPr>
              <w:t xml:space="preserve">（需提供CMA或CNAS检测机构出具的检测报告复印件并加盖投标供应商电子签章）</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21"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支持资源分组功能，可集中管理业务涉及到的服务器、数据库、负载均衡、存储等资源。</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21"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21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支持提供各个服务产品实例的监控指标查看功能。</w:t>
            </w:r>
            <w:r/>
          </w:p>
        </w:tc>
      </w:tr>
    </w:tbl>
    <w:p>
      <w:pPr>
        <w:keepLines w:val="0"/>
        <w:keepNext w:val="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numPr>
          <w:ilvl w:val="0"/>
          <w:numId w:val="0"/>
        </w:numPr>
        <w:ind w:left="0" w:firstLine="480"/>
        <w:jc w:val="left"/>
        <w:keepLines w:val="0"/>
        <w:keepNext w:val="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2"/>
      </w:pPr>
      <w:r/>
      <w:bookmarkStart w:id="52" w:name="_Toc19573"/>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（16）技术支撑要求</w:t>
      </w:r>
      <w:bookmarkEnd w:id="52"/>
      <w:r/>
      <w:r/>
    </w:p>
    <w:p>
      <w:pPr>
        <w:numPr>
          <w:ilvl w:val="0"/>
          <w:numId w:val="0"/>
        </w:numPr>
        <w:ind w:firstLine="480"/>
        <w:jc w:val="left"/>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所</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用云平台</w:t>
      </w:r>
      <w:r>
        <w:rPr>
          <w:rFonts w:hint="eastAsia" w:ascii="宋体" w:hAnsi="宋体" w:eastAsia="宋体" w:cs="宋体"/>
          <w:color w:val="000000" w:themeColor="text1"/>
          <w:sz w:val="24"/>
          <w:szCs w:val="24"/>
          <w:highlight w:val="none"/>
          <w14:textFill>
            <w14:solidFill>
              <w14:schemeClr w14:val="tx1"/>
            </w14:solidFill>
          </w14:textFill>
        </w:rPr>
        <w:t xml:space="preserve">产品须具有原厂技术支撑。（提供技术支撑证明文件）</w:t>
      </w:r>
      <w:r/>
    </w:p>
    <w:p>
      <w:pPr>
        <w:numPr>
          <w:ilvl w:val="0"/>
          <w:numId w:val="0"/>
        </w:numPr>
        <w:ind w:firstLine="480"/>
        <w:jc w:val="left"/>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原厂技术支撑内容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至少包括但不限于</w:t>
      </w:r>
      <w:r>
        <w:rPr>
          <w:rFonts w:hint="eastAsia" w:ascii="宋体" w:hAnsi="宋体" w:eastAsia="宋体" w:cs="宋体"/>
          <w:color w:val="000000" w:themeColor="text1"/>
          <w:sz w:val="24"/>
          <w:szCs w:val="24"/>
          <w:highlight w:val="none"/>
          <w14:textFill>
            <w14:solidFill>
              <w14:schemeClr w14:val="tx1"/>
            </w14:solidFill>
          </w14:textFill>
        </w:rPr>
        <w:t xml:space="preserve">：</w:t>
      </w:r>
      <w:r/>
    </w:p>
    <w:tbl>
      <w:tblPr>
        <w:tblStyle w:val="1105"/>
        <w:tblW w:w="9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8"/>
        <w:gridCol w:w="1821"/>
        <w:gridCol w:w="6234"/>
      </w:tblGrid>
      <w:tr>
        <w:trPr>
          <w:trHeight w:val="57"/>
        </w:trPr>
        <w:tc>
          <w:tcPr>
            <w:tcW w:w="1038" w:type="dxa"/>
            <w:vAlign w:val="center"/>
            <w:textDirection w:val="lrTb"/>
            <w:noWrap w:val="false"/>
          </w:tcPr>
          <w:p>
            <w:pPr>
              <w:jc w:val="center"/>
              <w:keepLines w:val="0"/>
              <w:keepNext w:val="0"/>
              <w:pageBreakBefore w:val="0"/>
              <w:spacing w:line="440" w:lineRule="exact"/>
              <w:rPr>
                <w:rFonts w:hint="eastAsia" w:ascii="宋体" w:hAnsi="宋体" w:eastAsia="宋体" w:cs="宋体"/>
                <w:bCs/>
                <w:i w:val="0"/>
                <w:iCs w:val="0"/>
                <w:color w:val="000000" w:themeColor="text1"/>
                <w:sz w:val="24"/>
                <w:szCs w:val="24"/>
                <w:highlight w:val="non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 xml:space="preserve">序号</w:t>
            </w:r>
            <w:r/>
          </w:p>
        </w:tc>
        <w:tc>
          <w:tcPr>
            <w:tcW w:w="1821" w:type="dxa"/>
            <w:vAlign w:val="center"/>
            <w:textDirection w:val="lrTb"/>
            <w:noWrap w:val="false"/>
          </w:tcPr>
          <w:p>
            <w:pPr>
              <w:jc w:val="center"/>
              <w:keepLines w:val="0"/>
              <w:keepNext w:val="0"/>
              <w:pageBreakBefore w:val="0"/>
              <w:spacing w:line="440" w:lineRule="exact"/>
              <w:rPr>
                <w:rFonts w:hint="eastAsia" w:ascii="宋体" w:hAnsi="宋体" w:eastAsia="宋体" w:cs="宋体"/>
                <w:bCs/>
                <w:i w:val="0"/>
                <w:iCs w:val="0"/>
                <w:color w:val="000000" w:themeColor="text1"/>
                <w:sz w:val="24"/>
                <w:szCs w:val="24"/>
                <w:highlight w:val="non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 xml:space="preserve">指标项</w:t>
            </w:r>
            <w:r/>
          </w:p>
        </w:tc>
        <w:tc>
          <w:tcPr>
            <w:tcW w:w="6234" w:type="dxa"/>
            <w:vAlign w:val="center"/>
            <w:textDirection w:val="lrTb"/>
            <w:noWrap w:val="false"/>
          </w:tcPr>
          <w:p>
            <w:pPr>
              <w:jc w:val="center"/>
              <w:keepLines w:val="0"/>
              <w:keepNext w:val="0"/>
              <w:pageBreakBefore w:val="0"/>
              <w:spacing w:line="440" w:lineRule="exact"/>
              <w:rPr>
                <w:rFonts w:hint="eastAsia" w:ascii="宋体" w:hAnsi="宋体" w:eastAsia="宋体" w:cs="宋体"/>
                <w:bCs/>
                <w:i w:val="0"/>
                <w:iCs w:val="0"/>
                <w:color w:val="000000" w:themeColor="text1"/>
                <w:sz w:val="24"/>
                <w:szCs w:val="24"/>
                <w:highlight w:val="non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 xml:space="preserve">招标技术要求</w:t>
            </w:r>
            <w:r/>
          </w:p>
        </w:tc>
      </w:tr>
      <w:tr>
        <w:trPr>
          <w:trHeight w:val="57"/>
        </w:trPr>
        <w:tc>
          <w:tcPr>
            <w:tcW w:w="1038" w:type="dxa"/>
            <w:vAlign w:val="center"/>
            <w:textDirection w:val="lrTb"/>
            <w:noWrap w:val="false"/>
          </w:tcPr>
          <w:p>
            <w:pPr>
              <w:jc w:val="center"/>
              <w:keepLines w:val="0"/>
              <w:keepNext w:val="0"/>
              <w:pageBreakBefore w:val="0"/>
              <w:spacing w:line="440" w:lineRule="exact"/>
              <w:rPr>
                <w:rFonts w:hint="eastAsia" w:ascii="宋体" w:hAnsi="宋体" w:eastAsia="宋体" w:cs="宋体"/>
                <w:bCs/>
                <w:i w:val="0"/>
                <w:iCs w:val="0"/>
                <w:color w:val="000000" w:themeColor="text1"/>
                <w:sz w:val="24"/>
                <w:szCs w:val="24"/>
                <w:highlight w:val="non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 xml:space="preserve">1</w:t>
            </w:r>
            <w:r/>
          </w:p>
        </w:tc>
        <w:tc>
          <w:tcPr>
            <w:tcW w:w="1821" w:type="dxa"/>
            <w:vAlign w:val="center"/>
            <w:vMerge w:val="restart"/>
            <w:textDirection w:val="lrTb"/>
            <w:noWrap w:val="false"/>
          </w:tcPr>
          <w:p>
            <w:pPr>
              <w:jc w:val="center"/>
              <w:keepLines w:val="0"/>
              <w:keepNext w:val="0"/>
              <w:pageBreakBefore w:val="0"/>
              <w:spacing w:line="440" w:lineRule="exact"/>
              <w:rPr>
                <w:rFonts w:hint="eastAsia" w:ascii="宋体" w:hAnsi="宋体" w:eastAsia="宋体" w:cs="宋体"/>
                <w:bCs/>
                <w:i w:val="0"/>
                <w:iCs w:val="0"/>
                <w:color w:val="000000" w:themeColor="text1"/>
                <w:sz w:val="24"/>
                <w:szCs w:val="24"/>
                <w:highlight w:val="non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 xml:space="preserve">技术支撑</w:t>
            </w:r>
            <w:r/>
          </w:p>
        </w:tc>
        <w:tc>
          <w:tcPr>
            <w:tcW w:w="6234" w:type="dxa"/>
            <w:vAlign w:val="center"/>
            <w:textDirection w:val="lrTb"/>
            <w:noWrap w:val="false"/>
          </w:tcPr>
          <w:p>
            <w:pPr>
              <w:keepLines w:val="0"/>
              <w:keepNext w:val="0"/>
              <w:pageBreakBefore w:val="0"/>
              <w:spacing w:line="440" w:lineRule="exact"/>
              <w:rPr>
                <w:rFonts w:hint="eastAsia" w:ascii="宋体" w:hAnsi="宋体" w:eastAsia="宋体" w:cs="宋体"/>
                <w:bCs/>
                <w:i w:val="0"/>
                <w:iCs w:val="0"/>
                <w:color w:val="000000" w:themeColor="text1"/>
                <w:sz w:val="24"/>
                <w:szCs w:val="24"/>
                <w:highlight w:val="non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 xml:space="preserve">提供产品运维服务，包括健康巡检、问题处理、指标监控、容量评估、水位管理等；</w:t>
            </w:r>
            <w:r/>
          </w:p>
        </w:tc>
      </w:tr>
      <w:tr>
        <w:trPr>
          <w:trHeight w:val="57"/>
        </w:trPr>
        <w:tc>
          <w:tcPr>
            <w:tcW w:w="1038" w:type="dxa"/>
            <w:vAlign w:val="center"/>
            <w:textDirection w:val="lrTb"/>
            <w:noWrap w:val="false"/>
          </w:tcPr>
          <w:p>
            <w:pPr>
              <w:jc w:val="center"/>
              <w:keepLines w:val="0"/>
              <w:keepNext w:val="0"/>
              <w:pageBreakBefore w:val="0"/>
              <w:spacing w:line="440" w:lineRule="exact"/>
              <w:rPr>
                <w:rFonts w:hint="eastAsia" w:ascii="宋体" w:hAnsi="宋体" w:eastAsia="宋体" w:cs="宋体"/>
                <w:bCs/>
                <w:i w:val="0"/>
                <w:iCs w:val="0"/>
                <w:color w:val="000000" w:themeColor="text1"/>
                <w:sz w:val="24"/>
                <w:szCs w:val="24"/>
                <w:highlight w:val="non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 xml:space="preserve">2</w:t>
            </w:r>
            <w:r/>
          </w:p>
        </w:tc>
        <w:tc>
          <w:tcPr>
            <w:tcW w:w="1821" w:type="dxa"/>
            <w:vAlign w:val="center"/>
            <w:vMerge w:val="continue"/>
            <w:textDirection w:val="lrTb"/>
            <w:noWrap w:val="false"/>
          </w:tcPr>
          <w:p>
            <w:pPr>
              <w:keepLines w:val="0"/>
              <w:keepNext w:val="0"/>
              <w:pageBreakBefore w:val="0"/>
              <w:spacing w:line="440" w:lineRule="exact"/>
              <w:rPr>
                <w:rFonts w:hint="eastAsia" w:ascii="宋体" w:hAnsi="宋体" w:eastAsia="宋体" w:cs="宋体"/>
                <w:bCs/>
                <w:i w:val="0"/>
                <w:iCs w:val="0"/>
                <w:color w:val="000000" w:themeColor="text1"/>
                <w:sz w:val="24"/>
                <w:szCs w:val="24"/>
                <w:highlight w:val="non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r>
            <w:r/>
          </w:p>
        </w:tc>
        <w:tc>
          <w:tcPr>
            <w:tcW w:w="6234" w:type="dxa"/>
            <w:vAlign w:val="center"/>
            <w:textDirection w:val="lrTb"/>
            <w:noWrap w:val="false"/>
          </w:tcPr>
          <w:p>
            <w:pPr>
              <w:keepLines w:val="0"/>
              <w:keepNext w:val="0"/>
              <w:pageBreakBefore w:val="0"/>
              <w:spacing w:line="440" w:lineRule="exact"/>
              <w:rPr>
                <w:rFonts w:hint="eastAsia" w:ascii="宋体" w:hAnsi="宋体" w:eastAsia="宋体" w:cs="宋体"/>
                <w:bCs/>
                <w:i w:val="0"/>
                <w:iCs w:val="0"/>
                <w:color w:val="000000" w:themeColor="text1"/>
                <w:sz w:val="24"/>
                <w:szCs w:val="24"/>
                <w:highlight w:val="non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 xml:space="preserve">提供故障应急响应服务，对故障进行快速响应以及应急处置和协同；</w:t>
            </w:r>
            <w:r/>
          </w:p>
        </w:tc>
      </w:tr>
      <w:tr>
        <w:trPr>
          <w:trHeight w:val="57"/>
        </w:trPr>
        <w:tc>
          <w:tcPr>
            <w:tcW w:w="1038" w:type="dxa"/>
            <w:vAlign w:val="center"/>
            <w:textDirection w:val="lrTb"/>
            <w:noWrap w:val="false"/>
          </w:tcPr>
          <w:p>
            <w:pPr>
              <w:jc w:val="center"/>
              <w:keepLines w:val="0"/>
              <w:keepNext w:val="0"/>
              <w:pageBreakBefore w:val="0"/>
              <w:spacing w:line="440" w:lineRule="exact"/>
              <w:rPr>
                <w:rFonts w:hint="eastAsia" w:ascii="宋体" w:hAnsi="宋体" w:eastAsia="宋体" w:cs="宋体"/>
                <w:bCs/>
                <w:i w:val="0"/>
                <w:iCs w:val="0"/>
                <w:color w:val="000000" w:themeColor="text1"/>
                <w:sz w:val="24"/>
                <w:szCs w:val="24"/>
                <w:highlight w:val="non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 xml:space="preserve">3</w:t>
            </w:r>
            <w:r/>
          </w:p>
        </w:tc>
        <w:tc>
          <w:tcPr>
            <w:tcW w:w="1821" w:type="dxa"/>
            <w:vAlign w:val="center"/>
            <w:vMerge w:val="continue"/>
            <w:textDirection w:val="lrTb"/>
            <w:noWrap w:val="false"/>
          </w:tcPr>
          <w:p>
            <w:pPr>
              <w:keepLines w:val="0"/>
              <w:keepNext w:val="0"/>
              <w:pageBreakBefore w:val="0"/>
              <w:spacing w:line="440" w:lineRule="exact"/>
              <w:rPr>
                <w:rFonts w:hint="eastAsia" w:ascii="宋体" w:hAnsi="宋体" w:eastAsia="宋体" w:cs="宋体"/>
                <w:bCs/>
                <w:i w:val="0"/>
                <w:iCs w:val="0"/>
                <w:color w:val="000000" w:themeColor="text1"/>
                <w:sz w:val="24"/>
                <w:szCs w:val="24"/>
                <w:highlight w:val="non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r>
            <w:r/>
          </w:p>
        </w:tc>
        <w:tc>
          <w:tcPr>
            <w:tcW w:w="6234" w:type="dxa"/>
            <w:vAlign w:val="center"/>
            <w:textDirection w:val="lrTb"/>
            <w:noWrap w:val="false"/>
          </w:tcPr>
          <w:p>
            <w:pPr>
              <w:keepLines w:val="0"/>
              <w:keepNext w:val="0"/>
              <w:pageBreakBefore w:val="0"/>
              <w:spacing w:line="440" w:lineRule="exact"/>
              <w:rPr>
                <w:rFonts w:hint="eastAsia" w:ascii="宋体" w:hAnsi="宋体" w:eastAsia="宋体" w:cs="宋体"/>
                <w:bCs/>
                <w:i w:val="0"/>
                <w:iCs w:val="0"/>
                <w:color w:val="000000" w:themeColor="text1"/>
                <w:sz w:val="24"/>
                <w:szCs w:val="24"/>
                <w:highlight w:val="non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 xml:space="preserve">提供售后工单服务。</w:t>
            </w:r>
            <w:r/>
          </w:p>
        </w:tc>
      </w:tr>
    </w:tbl>
    <w:p>
      <w:pPr>
        <w:numPr>
          <w:ilvl w:val="0"/>
          <w:numId w:val="0"/>
        </w:numPr>
        <w:jc w:val="left"/>
        <w:keepLines w:val="0"/>
        <w:keepNext w:val="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numPr>
          <w:ilvl w:val="0"/>
          <w:numId w:val="0"/>
        </w:numPr>
        <w:ind w:left="0" w:firstLine="480"/>
        <w:jc w:val="left"/>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53" w:name="_Toc13438"/>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（17）数据库</w:t>
      </w:r>
      <w:r>
        <w:rPr>
          <w:rFonts w:hint="eastAsia" w:ascii="宋体" w:hAnsi="宋体" w:eastAsia="宋体" w:cs="宋体"/>
          <w:color w:val="000000" w:themeColor="text1"/>
          <w:sz w:val="24"/>
          <w:szCs w:val="24"/>
          <w:highlight w:val="none"/>
          <w14:textFill>
            <w14:solidFill>
              <w14:schemeClr w14:val="tx1"/>
            </w14:solidFill>
          </w14:textFill>
        </w:rPr>
        <w:t xml:space="preserve">要求</w:t>
      </w:r>
      <w:bookmarkEnd w:id="53"/>
      <w:r/>
      <w:r/>
    </w:p>
    <w:p>
      <w:pPr>
        <w:numPr>
          <w:ilvl w:val="0"/>
          <w:numId w:val="0"/>
        </w:numPr>
        <w:ind w:firstLine="480"/>
        <w:jc w:val="left"/>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支持提供瀚高、神通、达梦、金仓、优炫、南大通用等国产数据库的安装、激活服务。</w:t>
      </w:r>
      <w:r/>
    </w:p>
    <w:p>
      <w:pPr>
        <w:numPr>
          <w:ilvl w:val="0"/>
          <w:numId w:val="0"/>
        </w:numPr>
        <w:ind w:left="0" w:firstLine="480"/>
        <w:jc w:val="left"/>
        <w:keepLines w:val="0"/>
        <w:keepNext w:val="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2"/>
      </w:pPr>
      <w:r/>
      <w:bookmarkStart w:id="54" w:name="_Toc3797"/>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（18）中间件要求</w:t>
      </w:r>
      <w:bookmarkEnd w:id="54"/>
      <w:r/>
      <w:r/>
    </w:p>
    <w:p>
      <w:pPr>
        <w:numPr>
          <w:ilvl w:val="0"/>
          <w:numId w:val="0"/>
        </w:numPr>
        <w:ind w:firstLine="480"/>
        <w:jc w:val="left"/>
        <w:keepLines w:val="0"/>
        <w:keepNext w:val="0"/>
        <w:pageBreakBefore w:val="0"/>
        <w:spacing w:line="44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支持提供金蝶、宝兰德、中创、东方通等国产应用中间件的安装、激活服务。</w:t>
      </w:r>
      <w:bookmarkStart w:id="55" w:name="_Toc18223"/>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p>
    <w:p>
      <w:pPr>
        <w:numPr>
          <w:ilvl w:val="0"/>
          <w:numId w:val="0"/>
        </w:numPr>
        <w:ind w:firstLine="482"/>
        <w:jc w:val="left"/>
        <w:keepLines w:val="0"/>
        <w:keepNext w:val="0"/>
        <w:pageBreakBefore w:val="0"/>
        <w:spacing w:line="440" w:lineRule="exact"/>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（五）迁移服务要求</w:t>
      </w:r>
      <w:bookmarkEnd w:id="55"/>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云服务商在业务迁移入云阶段应提供上云咨询服务、迁移实施方案、迁移测试服务等服务。业务系统在向云平台迁移的过程中要做到无缝迁移，确保业务连续不中断；提供成熟的P2V、V2V等迁移工具，确保系统的完整性、兼容性和数据安全。迁移流程包括：业务环境调研、迁移方案论证、云服务商环境兼容性测试、业务迁移开展及结束等阶段。须具备以下能力要求：</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（1）迁移方案设计：评估业务系统、数据库、存储数据等信息，提供业务迁移方案，包含云上组网规划、基础环境部署、应用主机迁移、数据库迁移、存储数据迁移等方案，协助用户完成业务切换方案。</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（2）组网实施：协助用户完成专线、虚拟专用网络（VPN）、虚拟私有云（VPC）内网、安全组、ACL等部署实施。</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（3）基础环境实施：根据上云方案，协助用户完成云上基础设施方案的实施，如协助用户进行ECS、RDS等资源购买与开通。</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（4）主机迁移：实施主机迁移方案，将应用主机的操作系统整体迁移至</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新</w:t>
      </w:r>
      <w:r>
        <w:rPr>
          <w:rFonts w:hint="eastAsia" w:ascii="宋体" w:hAnsi="宋体" w:eastAsia="宋体" w:cs="宋体"/>
          <w:color w:val="000000" w:themeColor="text1"/>
          <w:sz w:val="24"/>
          <w:highlight w:val="none"/>
          <w14:textFill>
            <w14:solidFill>
              <w14:schemeClr w14:val="tx1"/>
            </w14:solidFill>
          </w14:textFill>
        </w:rPr>
        <w:t xml:space="preserve">云</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平台</w:t>
      </w:r>
      <w:r>
        <w:rPr>
          <w:rFonts w:hint="eastAsia" w:ascii="宋体" w:hAnsi="宋体" w:eastAsia="宋体" w:cs="宋体"/>
          <w:color w:val="000000" w:themeColor="text1"/>
          <w:sz w:val="24"/>
          <w:highlight w:val="none"/>
          <w14:textFill>
            <w14:solidFill>
              <w14:schemeClr w14:val="tx1"/>
            </w14:solidFill>
          </w14:textFill>
        </w:rPr>
        <w:t xml:space="preserve">。</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（5）数据库迁移：实施数据库迁移方案，协助用户完成全量与增量数据库迁移实施。</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（6）存储数据迁移：协助用户实施全量与增量数据迁移，协助用户验证全量与增量数据迁移的效果，完成云下存储数据到云上存储数据的割接。</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（7）业务切换保障：在用户实施业务切换上云时，提供云基础设施的保障。</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（8）云服务商应在项目服务期内配合招标人指定的业务单位做好应用上云及迁移工作，确保平稳过渡、顺利迁移。</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配合招标人指定的业务单位对上云及迁移业务系统进行调查摸底、制定上云及迁移方案，提供架构设计咨询，在系统上云迁移前期提供非代码级别的迁移支持服务。提供服务方案，应配合招标人指定的业务单位做好上云及整体迁移工作。</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（10）云服务商应制定云平台使用规范、云平台安全防护管理办法等规范标准，协助招标人指定的业务单位进行相关业务应用系统的迁移、运行和安全保障。</w:t>
      </w:r>
      <w:r/>
    </w:p>
    <w:p>
      <w:pPr>
        <w:ind w:firstLine="482"/>
        <w:jc w:val="left"/>
        <w:keepLines w:val="0"/>
        <w:keepNext w:val="0"/>
        <w:pageBreakBefore w:val="0"/>
        <w:spacing w:line="440" w:lineRule="exact"/>
        <w:widowControl w:val="off"/>
        <w:rPr>
          <w:rFonts w:hint="eastAsia" w:ascii="宋体" w:hAnsi="宋体" w:eastAsia="宋体" w:cs="宋体"/>
          <w:b/>
          <w:bCs/>
          <w:color w:val="000000" w:themeColor="text1"/>
          <w:sz w:val="24"/>
          <w:highlight w:val="none"/>
          <w:lang w:val="en-US" w:eastAsia="zh-CN"/>
          <w14:textFill>
            <w14:solidFill>
              <w14:schemeClr w14:val="tx1"/>
            </w14:solidFill>
          </w14:textFill>
        </w:rPr>
        <w:outlineLvl w:val="1"/>
      </w:pPr>
      <w:r/>
      <w:bookmarkStart w:id="56" w:name="_Toc3057"/>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（六）项目实施保障服务要求</w:t>
      </w:r>
      <w:bookmarkEnd w:id="56"/>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实施团队：中标人须针对本项目配备实施团队，需在计算、存储、网络、安全等领域具备专业技术能力。实施团队包括项目经理1人、技术负责人1人，实施负责人1人，团队成员（项目经理、技术负责人、实施负责人除外）不少于4人。实施结束后由运维团队负责运维工作。</w:t>
      </w:r>
      <w:r/>
    </w:p>
    <w:p>
      <w:pPr>
        <w:numPr>
          <w:ilvl w:val="0"/>
          <w:numId w:val="0"/>
        </w:numPr>
        <w:ind w:firstLine="482"/>
        <w:jc w:val="left"/>
        <w:keepLines w:val="0"/>
        <w:keepNext w:val="0"/>
        <w:pageBreakBefore w:val="0"/>
        <w:spacing w:line="440" w:lineRule="exact"/>
        <w:widowControl w:val="off"/>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说明：上述“实施团队”中人员数量要求为不允许偏离的实质性要求和条件，如有偏离，在符合性审查时按照投标无效处理。</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（2）运维保障体系：需按照国家标准，建立完善的运维保障体系，从组织、人员、资源保障、管理制度等各个方面保障稳定运行。</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培训服务：中标人需提供完整的用户培训方案。针对本系统的使用，提供人员培训，包括安装、配置等。培训内容包括基本理论、软件的安装与操作、运行管理、现场操作辅导等。培训方式应包括技术讲课、操作示范、参观学习和其它必须的业务指导和技术咨询，确保培训人员对系统基本理论、技术特性、操作规范、运行规程、管理维护等方面获得全面了解和掌握。中标人须选派具有一定资质和实践经验，且受过专门训练的专业技术人员负责各分项工程的技术培训工作。</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（4）中标人需保证云</w:t>
      </w:r>
      <w:r>
        <w:rPr>
          <w:rFonts w:hint="eastAsia" w:ascii="宋体" w:hAnsi="宋体" w:eastAsia="宋体" w:cs="宋体"/>
          <w:color w:val="000000" w:themeColor="text1"/>
          <w:sz w:val="24"/>
          <w:highlight w:val="none"/>
          <w14:textFill>
            <w14:solidFill>
              <w14:schemeClr w14:val="tx1"/>
            </w14:solidFill>
          </w14:textFill>
        </w:rPr>
        <w:t xml:space="preserve">平台</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资源池服务在合同签订后30个自然日内具备提供云资源服务的能</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力并完成存量资源迁移、业务上线、数据验证等内容。</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（投标供应商须在投标文件中提供承诺函并加盖投标单位公章）</w:t>
      </w:r>
      <w:r/>
    </w:p>
    <w:p>
      <w:pPr>
        <w:ind w:firstLine="482"/>
        <w:jc w:val="left"/>
        <w:keepLines w:val="0"/>
        <w:keepNext w:val="0"/>
        <w:pageBreakBefore w:val="0"/>
        <w:spacing w:line="440" w:lineRule="exact"/>
        <w:widowControl w:val="off"/>
        <w:rPr>
          <w:rFonts w:hint="eastAsia" w:ascii="宋体" w:hAnsi="宋体" w:eastAsia="宋体" w:cs="宋体"/>
          <w:b/>
          <w:bCs/>
          <w:color w:val="000000" w:themeColor="text1"/>
          <w:sz w:val="24"/>
          <w:highlight w:val="none"/>
          <w:lang w:val="en-US" w:eastAsia="zh-CN"/>
          <w14:textFill>
            <w14:solidFill>
              <w14:schemeClr w14:val="tx1"/>
            </w14:solidFill>
          </w14:textFill>
        </w:rPr>
        <w:outlineLvl w:val="1"/>
      </w:pPr>
      <w:r/>
      <w:bookmarkStart w:id="57" w:name="_Toc26732"/>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（七）运营运维服务要求</w:t>
      </w:r>
      <w:bookmarkEnd w:id="57"/>
      <w:r/>
      <w:r/>
    </w:p>
    <w:p>
      <w:pPr>
        <w:numPr>
          <w:ilvl w:val="0"/>
          <w:numId w:val="0"/>
        </w:numPr>
        <w:ind w:left="0" w:firstLine="480"/>
        <w:jc w:val="left"/>
        <w:keepLines w:val="0"/>
        <w:keepNext w:val="0"/>
        <w:pageBreakBefore w:val="0"/>
        <w:spacing w:line="440" w:lineRule="exact"/>
        <w:widowControl w:val="off"/>
        <w:rPr>
          <w:rFonts w:hint="eastAsia" w:ascii="宋体" w:hAnsi="宋体" w:eastAsia="宋体" w:cs="宋体"/>
          <w:color w:val="000000" w:themeColor="text1"/>
          <w:sz w:val="24"/>
          <w:highlight w:val="none"/>
          <w:lang w:val="en-US" w:eastAsia="zh-CN"/>
          <w14:textFill>
            <w14:solidFill>
              <w14:schemeClr w14:val="tx1"/>
            </w14:solidFill>
          </w14:textFill>
        </w:rPr>
        <w:outlineLvl w:val="2"/>
      </w:pPr>
      <w:r/>
      <w:bookmarkStart w:id="58" w:name="_Toc13860"/>
      <w:r>
        <w:rPr>
          <w:rFonts w:hint="eastAsia" w:ascii="宋体" w:hAnsi="宋体" w:eastAsia="宋体" w:cs="宋体"/>
          <w:color w:val="000000" w:themeColor="text1"/>
          <w:sz w:val="24"/>
          <w:highlight w:val="none"/>
          <w:lang w:val="en-US" w:eastAsia="zh-CN"/>
          <w14:textFill>
            <w14:solidFill>
              <w14:schemeClr w14:val="tx1"/>
            </w14:solidFill>
          </w14:textFill>
        </w:rPr>
        <w:t xml:space="preserve">1.运营总体要求</w:t>
      </w:r>
      <w:bookmarkEnd w:id="58"/>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云服务商须保障云</w:t>
      </w:r>
      <w:r>
        <w:rPr>
          <w:rFonts w:hint="eastAsia" w:ascii="宋体" w:hAnsi="宋体" w:eastAsia="宋体" w:cs="宋体"/>
          <w:color w:val="000000" w:themeColor="text1"/>
          <w:sz w:val="24"/>
          <w:highlight w:val="none"/>
          <w14:textFill>
            <w14:solidFill>
              <w14:schemeClr w14:val="tx1"/>
            </w14:solidFill>
          </w14:textFill>
        </w:rPr>
        <w:t xml:space="preserve">平台</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运营服务投入，运营服务工作须由专业技术服务团队承担。运营服务须7*24小时响应采购人及部门（单位）关于云平台咨询、系统测试、迁移部署上云、业务信息系统运行监测及问题处理等全方位的技术支撑和不间断技术服务。</w:t>
      </w:r>
      <w:r/>
    </w:p>
    <w:p>
      <w:pPr>
        <w:numPr>
          <w:ilvl w:val="0"/>
          <w:numId w:val="0"/>
        </w:numPr>
        <w:ind w:left="0" w:firstLine="480"/>
        <w:jc w:val="left"/>
        <w:keepLines w:val="0"/>
        <w:keepNext w:val="0"/>
        <w:pageBreakBefore w:val="0"/>
        <w:spacing w:line="440" w:lineRule="exact"/>
        <w:widowControl w:val="off"/>
        <w:rPr>
          <w:rFonts w:hint="eastAsia" w:ascii="宋体" w:hAnsi="宋体" w:eastAsia="宋体" w:cs="宋体"/>
          <w:color w:val="000000" w:themeColor="text1"/>
          <w:sz w:val="24"/>
          <w:highlight w:val="none"/>
          <w:lang w:val="en-US" w:eastAsia="zh-CN"/>
          <w14:textFill>
            <w14:solidFill>
              <w14:schemeClr w14:val="tx1"/>
            </w14:solidFill>
          </w14:textFill>
        </w:rPr>
        <w:outlineLvl w:val="2"/>
      </w:pPr>
      <w:r/>
      <w:bookmarkStart w:id="59" w:name="_Toc14641"/>
      <w:r>
        <w:rPr>
          <w:rFonts w:hint="eastAsia" w:ascii="宋体" w:hAnsi="宋体" w:eastAsia="宋体" w:cs="宋体"/>
          <w:color w:val="000000" w:themeColor="text1"/>
          <w:sz w:val="24"/>
          <w:highlight w:val="none"/>
          <w:lang w:val="en-US" w:eastAsia="zh-CN"/>
          <w14:textFill>
            <w14:solidFill>
              <w14:schemeClr w14:val="tx1"/>
            </w14:solidFill>
          </w14:textFill>
        </w:rPr>
        <w:t xml:space="preserve">2.安全监管要求</w:t>
      </w:r>
      <w:bookmarkEnd w:id="59"/>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云服务商须接受采购人或其委派的第三方机构的安全监管，监管内容至少包括但不限于：系统与通信保护、访问控制、配置管理、维护、应急响应与灾备、审计、风险评估与持续监控、安全组织与人员、供应链安全、物理与环境安全。云服务商须按约定的内容、形式、频率、人工或自动机制等提交监管所需交付件，并确保交付件真实可靠。云服务商须根据安全监管结果对相关管理和技术措施进行整改。</w:t>
      </w:r>
      <w:r/>
    </w:p>
    <w:p>
      <w:pPr>
        <w:numPr>
          <w:ilvl w:val="0"/>
          <w:numId w:val="0"/>
        </w:numPr>
        <w:ind w:left="0" w:firstLine="480"/>
        <w:jc w:val="left"/>
        <w:keepLines w:val="0"/>
        <w:keepNext w:val="0"/>
        <w:pageBreakBefore w:val="0"/>
        <w:spacing w:line="440" w:lineRule="exact"/>
        <w:widowControl w:val="off"/>
        <w:rPr>
          <w:rFonts w:hint="eastAsia" w:ascii="宋体" w:hAnsi="宋体" w:eastAsia="宋体" w:cs="宋体"/>
          <w:color w:val="000000" w:themeColor="text1"/>
          <w:sz w:val="24"/>
          <w:highlight w:val="none"/>
          <w:lang w:val="en-US" w:eastAsia="zh-CN"/>
          <w14:textFill>
            <w14:solidFill>
              <w14:schemeClr w14:val="tx1"/>
            </w14:solidFill>
          </w14:textFill>
        </w:rPr>
        <w:outlineLvl w:val="2"/>
      </w:pPr>
      <w:r/>
      <w:bookmarkStart w:id="60" w:name="_Toc27231"/>
      <w:r>
        <w:rPr>
          <w:rFonts w:hint="eastAsia" w:ascii="宋体" w:hAnsi="宋体" w:eastAsia="宋体" w:cs="宋体"/>
          <w:color w:val="000000" w:themeColor="text1"/>
          <w:sz w:val="24"/>
          <w:highlight w:val="none"/>
          <w:lang w:val="en-US" w:eastAsia="zh-CN"/>
          <w14:textFill>
            <w14:solidFill>
              <w14:schemeClr w14:val="tx1"/>
            </w14:solidFill>
          </w14:textFill>
        </w:rPr>
        <w:t xml:space="preserve">3.运维总体要求</w:t>
      </w:r>
      <w:bookmarkEnd w:id="60"/>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云服务商要以保障提供云服务的云平台安全可靠运行为目标，遵照国家和省关于云</w:t>
      </w:r>
      <w:r>
        <w:rPr>
          <w:rFonts w:hint="eastAsia" w:ascii="宋体" w:hAnsi="宋体" w:eastAsia="宋体" w:cs="宋体"/>
          <w:color w:val="000000" w:themeColor="text1"/>
          <w:sz w:val="24"/>
          <w:highlight w:val="none"/>
          <w14:textFill>
            <w14:solidFill>
              <w14:schemeClr w14:val="tx1"/>
            </w14:solidFill>
          </w14:textFill>
        </w:rPr>
        <w:t xml:space="preserve">平台</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运行维护的标准、规范、办法、要求，通过对云平台软硬件和网络进行科学运行维护，确保云平台不间断稳定运行，确保不因云平台侧问题影响各上云业务信息系统安全稳定运行。</w:t>
      </w:r>
      <w:r/>
    </w:p>
    <w:p>
      <w:pPr>
        <w:numPr>
          <w:ilvl w:val="0"/>
          <w:numId w:val="0"/>
        </w:numPr>
        <w:ind w:left="0" w:firstLine="480"/>
        <w:jc w:val="left"/>
        <w:keepLines w:val="0"/>
        <w:keepNext w:val="0"/>
        <w:pageBreakBefore w:val="0"/>
        <w:spacing w:line="440" w:lineRule="exact"/>
        <w:widowControl w:val="off"/>
        <w:rPr>
          <w:rFonts w:hint="eastAsia" w:ascii="宋体" w:hAnsi="宋体" w:eastAsia="宋体" w:cs="宋体"/>
          <w:color w:val="000000" w:themeColor="text1"/>
          <w:sz w:val="24"/>
          <w:highlight w:val="none"/>
          <w:lang w:val="en-US" w:eastAsia="zh-CN"/>
          <w14:textFill>
            <w14:solidFill>
              <w14:schemeClr w14:val="tx1"/>
            </w14:solidFill>
          </w14:textFill>
        </w:rPr>
        <w:outlineLvl w:val="2"/>
      </w:pPr>
      <w:r/>
      <w:bookmarkStart w:id="61" w:name="_Toc27392"/>
      <w:r>
        <w:rPr>
          <w:rFonts w:hint="eastAsia" w:ascii="宋体" w:hAnsi="宋体" w:eastAsia="宋体" w:cs="宋体"/>
          <w:color w:val="000000" w:themeColor="text1"/>
          <w:sz w:val="24"/>
          <w:highlight w:val="none"/>
          <w:lang w:val="en-US" w:eastAsia="zh-CN"/>
          <w14:textFill>
            <w14:solidFill>
              <w14:schemeClr w14:val="tx1"/>
            </w14:solidFill>
          </w14:textFill>
        </w:rPr>
        <w:t xml:space="preserve">4.运行安全保障要求</w:t>
      </w:r>
      <w:bookmarkEnd w:id="61"/>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云服务商要以保障提供云服务的云平台网络数据安全为目标，遵照国家和省关于网络数据安全的标准、规范、办法、要求，通过网络数据安全防护手段和运行安全管理，确保云平台不发生网络数据安全事件，确保不因云平台侧安全防护问题导致各上云业务信息系统发生网络数据安全事件。</w:t>
      </w:r>
      <w:r/>
    </w:p>
    <w:p>
      <w:pPr>
        <w:numPr>
          <w:ilvl w:val="0"/>
          <w:numId w:val="0"/>
        </w:numPr>
        <w:ind w:left="0" w:firstLine="480"/>
        <w:jc w:val="left"/>
        <w:keepLines w:val="0"/>
        <w:keepNext w:val="0"/>
        <w:pageBreakBefore w:val="0"/>
        <w:spacing w:line="440" w:lineRule="exact"/>
        <w:widowControl w:val="off"/>
        <w:rPr>
          <w:rFonts w:hint="eastAsia" w:ascii="宋体" w:hAnsi="宋体" w:eastAsia="宋体" w:cs="宋体"/>
          <w:color w:val="000000" w:themeColor="text1"/>
          <w:sz w:val="24"/>
          <w:highlight w:val="none"/>
          <w:lang w:val="en-US" w:eastAsia="zh-CN"/>
          <w14:textFill>
            <w14:solidFill>
              <w14:schemeClr w14:val="tx1"/>
            </w14:solidFill>
          </w14:textFill>
        </w:rPr>
        <w:outlineLvl w:val="2"/>
      </w:pPr>
      <w:r/>
      <w:bookmarkStart w:id="62" w:name="_Toc8973"/>
      <w:r>
        <w:rPr>
          <w:rFonts w:hint="eastAsia" w:ascii="宋体" w:hAnsi="宋体" w:eastAsia="宋体" w:cs="宋体"/>
          <w:color w:val="000000" w:themeColor="text1"/>
          <w:sz w:val="24"/>
          <w:highlight w:val="none"/>
          <w:lang w:val="en-US" w:eastAsia="zh-CN"/>
          <w14:textFill>
            <w14:solidFill>
              <w14:schemeClr w14:val="tx1"/>
            </w14:solidFill>
          </w14:textFill>
        </w:rPr>
        <w:t xml:space="preserve">5.重要活动保障服务要求</w:t>
      </w:r>
      <w:bookmarkEnd w:id="62"/>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云服务商应根据各项重要活动保障工作安排做好保障服务，至少包括但不限于两会保障，国家重大会议保障，重大政治事件保障，重要节假日保障、网络安全攻防演练专项保障等任务。重保工作期间，云服务商应按照采购人要求，增加维护管理人员、增加巡检次数、加强监测预警等，提升响应速度和服务等级，缩短故障到场及处置时间，加强后台支持力量，以满足重保阶段保障的需求。</w:t>
      </w:r>
      <w:r/>
    </w:p>
    <w:p>
      <w:pPr>
        <w:numPr>
          <w:ilvl w:val="0"/>
          <w:numId w:val="0"/>
        </w:numPr>
        <w:ind w:left="0" w:firstLine="480"/>
        <w:jc w:val="left"/>
        <w:keepLines w:val="0"/>
        <w:keepNext w:val="0"/>
        <w:pageBreakBefore w:val="0"/>
        <w:spacing w:line="440" w:lineRule="exact"/>
        <w:widowControl w:val="off"/>
        <w:rPr>
          <w:rFonts w:hint="eastAsia" w:ascii="宋体" w:hAnsi="宋体" w:eastAsia="宋体" w:cs="宋体"/>
          <w:color w:val="000000" w:themeColor="text1"/>
          <w:sz w:val="24"/>
          <w:highlight w:val="none"/>
          <w:lang w:val="en-US" w:eastAsia="zh-CN"/>
          <w14:textFill>
            <w14:solidFill>
              <w14:schemeClr w14:val="tx1"/>
            </w14:solidFill>
          </w14:textFill>
        </w:rPr>
        <w:outlineLvl w:val="2"/>
      </w:pPr>
      <w:r/>
      <w:bookmarkStart w:id="63" w:name="_Toc10697"/>
      <w:r>
        <w:rPr>
          <w:rFonts w:hint="eastAsia" w:ascii="宋体" w:hAnsi="宋体" w:eastAsia="宋体" w:cs="宋体"/>
          <w:color w:val="000000" w:themeColor="text1"/>
          <w:sz w:val="24"/>
          <w:highlight w:val="none"/>
          <w:lang w:val="en-US" w:eastAsia="zh-CN"/>
          <w14:textFill>
            <w14:solidFill>
              <w14:schemeClr w14:val="tx1"/>
            </w14:solidFill>
          </w14:textFill>
        </w:rPr>
        <w:t xml:space="preserve">6.保密要求</w:t>
      </w:r>
      <w:bookmarkEnd w:id="63"/>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云服务商与采购人签署保密协议，云服务商应对提供云</w:t>
      </w:r>
      <w:r>
        <w:rPr>
          <w:rFonts w:hint="eastAsia" w:ascii="宋体" w:hAnsi="宋体" w:eastAsia="宋体" w:cs="宋体"/>
          <w:color w:val="000000" w:themeColor="text1"/>
          <w:sz w:val="24"/>
          <w:highlight w:val="none"/>
          <w14:textFill>
            <w14:solidFill>
              <w14:schemeClr w14:val="tx1"/>
            </w14:solidFill>
          </w14:textFill>
        </w:rPr>
        <w:t xml:space="preserve">平台</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服务相关的运营运维人员进行背景调查，签署保密协议。</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云上业务信息系统和数据归属于上云单位，云服务商未经上云单位确认，不得查看、修改、拷贝业务信息系统数据。云平台及云平台运行产生的数据归采购人所有，云服务商不得使用、修改、泄露、丢失等。</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云平台所有设备享受硬盘维修不返还服务，已损坏及已报废硬盘由采购人指派专人上门收取，按保密相关规定进行销毁。</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云服务商做好人员及货物进出云平台所在机房的管理，未经采购人同意，云服务商不得私自允许人员或者货物进出机房。</w:t>
      </w:r>
      <w:r/>
    </w:p>
    <w:p>
      <w:pPr>
        <w:numPr>
          <w:ilvl w:val="0"/>
          <w:numId w:val="0"/>
        </w:numPr>
        <w:ind w:left="0" w:firstLine="480"/>
        <w:jc w:val="left"/>
        <w:keepLines w:val="0"/>
        <w:keepNext w:val="0"/>
        <w:pageBreakBefore w:val="0"/>
        <w:spacing w:line="440" w:lineRule="exact"/>
        <w:widowControl w:val="off"/>
        <w:rPr>
          <w:rFonts w:hint="eastAsia" w:ascii="宋体" w:hAnsi="宋体" w:eastAsia="宋体" w:cs="宋体"/>
          <w:color w:val="000000" w:themeColor="text1"/>
          <w:sz w:val="24"/>
          <w:highlight w:val="none"/>
          <w:lang w:val="en-US" w:eastAsia="zh-CN"/>
          <w14:textFill>
            <w14:solidFill>
              <w14:schemeClr w14:val="tx1"/>
            </w14:solidFill>
          </w14:textFill>
        </w:rPr>
        <w:outlineLvl w:val="2"/>
      </w:pPr>
      <w:r/>
      <w:bookmarkStart w:id="64" w:name="_Toc13023"/>
      <w:r>
        <w:rPr>
          <w:rFonts w:hint="eastAsia" w:ascii="宋体" w:hAnsi="宋体" w:eastAsia="宋体" w:cs="宋体"/>
          <w:color w:val="000000" w:themeColor="text1"/>
          <w:sz w:val="24"/>
          <w:highlight w:val="none"/>
          <w:lang w:val="en-US" w:eastAsia="zh-CN"/>
          <w14:textFill>
            <w14:solidFill>
              <w14:schemeClr w14:val="tx1"/>
            </w14:solidFill>
          </w14:textFill>
        </w:rPr>
        <w:t xml:space="preserve">7.驻场服务</w:t>
      </w:r>
      <w:bookmarkEnd w:id="64"/>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本项目验收通过后，乙方需提供2年免费驻场运维服务，配备 1 名技术人员驻场服务。技术人员需经甲方同意后方可驻场，驻场时间同步甲方日常工作时间（含节假日加班、夜间值班等）。技术人员需及时响应甲方服务需求，响应到达时间、服务质量等列入日常考核管理。</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（投标供应商须在投标文件中提供承诺函并加盖投标单位公章）</w:t>
      </w:r>
      <w:r/>
    </w:p>
    <w:p>
      <w:pPr>
        <w:numPr>
          <w:ilvl w:val="0"/>
          <w:numId w:val="0"/>
        </w:numPr>
        <w:ind w:left="0"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highlight w:val="none"/>
          <w:lang w:val="en-US" w:eastAsia="zh-CN"/>
          <w14:textFill>
            <w14:solidFill>
              <w14:schemeClr w14:val="tx1"/>
            </w14:solidFill>
          </w14:textFill>
        </w:rPr>
        <w:outlineLvl w:val="2"/>
      </w:pPr>
      <w:r/>
      <w:bookmarkStart w:id="65" w:name="_Toc493"/>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8.退出规则</w:t>
      </w:r>
      <w:bookmarkEnd w:id="65"/>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若云服务商退出服务，应免费提供3个月的过渡期，云服务商须制定退出方案，无条件免费配合采购人、上云单位完成业务信息系统迁移与切换、数据迁移、数据移交与清理等工作，妥善处置云平台的设施设备，确保退出云平台迁入单位业务系统的安全，不得以任何技术手段进行数据恢复。正式退出前，退出云服务商应确保退出前云上所承载业务信息系统的稳定性，不得对业务信息系统造成影响，否则将追究退出云服务商的责任。重点要配合做好以下工作：</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（1）提供数据和业务信息系统迁移出云平台的接口和方案。</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在退出服务过程中，云服务商须完整返还数据，数据范围至少包括但不限于采购人、业务信息系统管理单位移交给云服务商的数据和资料、业务信息系统在云平台上运行期间产生、收集的数据以及相关文档资料，如数据文件、程序代码、说明书、技术资料、运行日志等。</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（3）在将原有数据和业务信息系统迁移至新云</w:t>
      </w:r>
      <w:r>
        <w:rPr>
          <w:rFonts w:hint="eastAsia" w:ascii="宋体" w:hAnsi="宋体" w:eastAsia="宋体" w:cs="宋体"/>
          <w:color w:val="000000" w:themeColor="text1"/>
          <w:sz w:val="24"/>
          <w:highlight w:val="none"/>
          <w14:textFill>
            <w14:solidFill>
              <w14:schemeClr w14:val="tx1"/>
            </w14:solidFill>
          </w14:textFill>
        </w:rPr>
        <w:t xml:space="preserve">平台</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的过程中，应满足应用可用性和持续性要求，如采取原业务信息系统与新部署业务信息系统并行运行一段时间等措施。</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（4）退出服务时，云服务商应安全处理数据，并承担相关的责任和义务，如保密要求等。</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（5）退出服务时，云服务商应按照采购人书面授权和要求删除相应数据及备份，并出具承诺函。</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（6）退出服务时，对应云服务商的结算费用须等待该云服务商顺利完成迁移并由采购人确认后，方能启动服务费用的结算和支付。</w:t>
      </w:r>
      <w:r/>
    </w:p>
    <w:p>
      <w:pPr>
        <w:numPr>
          <w:ilvl w:val="0"/>
          <w:numId w:val="0"/>
        </w:numPr>
        <w:ind w:firstLine="482"/>
        <w:jc w:val="left"/>
        <w:keepLines w:val="0"/>
        <w:keepNext w:val="0"/>
        <w:pageBreakBefore w:val="0"/>
        <w:spacing w:line="440" w:lineRule="exact"/>
        <w:widowControl w:val="off"/>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（八）功能演示要求</w:t>
      </w:r>
      <w:r/>
    </w:p>
    <w:p>
      <w:pPr>
        <w:numPr>
          <w:ilvl w:val="0"/>
          <w:numId w:val="0"/>
        </w:numPr>
        <w:ind w:firstLine="480"/>
        <w:jc w:val="left"/>
        <w:keepLines w:val="0"/>
        <w:keepNext w:val="0"/>
        <w:pageBreakBefore w:val="0"/>
        <w:spacing w:line="440" w:lineRule="exact"/>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1.演示要求：</w:t>
      </w:r>
      <w:r/>
    </w:p>
    <w:p>
      <w:pPr>
        <w:pStyle w:val="1107"/>
        <w:keepLines w:val="0"/>
        <w:keepNext w:val="0"/>
        <w:pageBreakBefore w:val="0"/>
        <w:spacing w:line="440" w:lineRule="exact"/>
        <w:widowControl w:val="off"/>
        <w:rPr>
          <w:rFonts w:hint="eastAsia" w:ascii="宋体" w:hAnsi="宋体" w:eastAsia="宋体" w:cs="宋体"/>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投标人需按照招标文件规定的演示内容制作演示视频文件，视频文件的格式为.mp4或.avi，供应商须将视频文件分段压缩为.zip文件上传（单个文件不得大于50M，所有文件总共不得大于300M）。按照《江苏省政府采购交易执行系统操作手册》的规定上传，上传的演示视频将作为投标文件的组成部分。系统支持上传多个文件，视频时长总计不超过10分钟。投标供应商须在真实应用系统进行录屏演示，其他方式不得分。</w:t>
      </w:r>
      <w:r/>
    </w:p>
    <w:p>
      <w:pPr>
        <w:pStyle w:val="1107"/>
        <w:keepLines w:val="0"/>
        <w:keepNext w:val="0"/>
        <w:pageBreakBefore w:val="0"/>
        <w:spacing w:line="440" w:lineRule="exact"/>
        <w:widowControl w:val="off"/>
        <w:rPr>
          <w:rFonts w:hint="eastAsia" w:ascii="宋体" w:hAnsi="宋体" w:eastAsia="宋体" w:cs="宋体"/>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2.演示内容：</w:t>
      </w:r>
      <w:r/>
    </w:p>
    <w:p>
      <w:pPr>
        <w:pStyle w:val="1107"/>
        <w:keepLines w:val="0"/>
        <w:keepNext w:val="0"/>
        <w:pageBreakBefore w:val="0"/>
        <w:spacing w:line="440" w:lineRule="exact"/>
        <w:widowControl w:val="off"/>
        <w:rPr>
          <w:rFonts w:hint="eastAsia" w:ascii="宋体" w:hAnsi="宋体" w:eastAsia="宋体" w:cs="宋体"/>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（1）存储虚拟化功能演示</w:t>
      </w:r>
      <w:r/>
    </w:p>
    <w:p>
      <w:pPr>
        <w:pStyle w:val="1107"/>
        <w:keepLines w:val="0"/>
        <w:keepNext w:val="0"/>
        <w:pageBreakBefore w:val="0"/>
        <w:spacing w:line="440" w:lineRule="exact"/>
        <w:widowControl w:val="off"/>
        <w:rPr>
          <w:rFonts w:hint="eastAsia" w:ascii="宋体" w:hAnsi="宋体" w:eastAsia="宋体" w:cs="宋体"/>
          <w:b w:val="0"/>
          <w:bCs w:val="0"/>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模块1</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：虚拟机数据盘支持支持云硬盘的全生命周期管理，包括：创建、扩容、删除（释放）等。</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模块2：为了满足不同的存储类型需求，支持对块、文件、对象三种存储类型的管理。</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（2）云管理平台功能演示</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模块1：云平台需提供计量报表并支持下载，报表内容包括VDC、部门、用户、状态、区域、产品、实例ID、订单ID、计费开始/结束时间、计量指标、计量单位、使用量、计量值、单价和费用，支持自定义报表策略，支持实时和按周期性发送计量报表用户指定邮箱。</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模块2：云管平台能支持主机资源和虚机资源的统一监控管理。支持展示物理节点和虚机的资源利用率、网卡监控信息、告警信息，并提供可视化方式展示计算、存储、网络等监控信息。</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模块3：平台需具备健康巡检功能，支持自定义巡检方案，根据巡检方案进行基础资源巡检、管控巡检、库存巡检、云产品巡检、中间件巡检，并支持一键巡检和查看巡检历史。同时支持设置定时巡检任务，对巡检项进行分类和管理。</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模块4：支持周期性生成运维报表，至少包括但不限于主机监控报表、日志报表、告警报表、虚机监控报表；立即生成报表，周期类型包括天、周、月、季度、半年。只需要设置一次报表参数，即可周期提供报表数据。</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模块5：平台具备组织结构管理和用户与角色管理功能，提供虚拟数据中心、部门管理、角色管理和用户管理配置，支持部门、子部门创建功能，支持部门分级，满足不同场景下的需求,支持双因子认证、密码强度规则设置，满足客户安全需求。</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（3）计算虚拟化功能演示</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模块1：提供虚拟机实例的生命周期管理，主要包括虚机“暂停实例、废弃实例、锁定实例、重建实例、软/</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硬重启、接口分离/连接”等功能。</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模块2：支持根据应用系统的性能需求，灵活调整相关资源虚拟机的配置，包括调整vCPU核数，内存大小，磁盘卷个数，扩展磁盘卷的容量等。</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模块3：支持用户快速定位虚拟机功能，可以支持按照虚拟机名称、IP、ID、运行状态等多种方式快速定位虚拟机。</w:t>
      </w:r>
      <w:r/>
    </w:p>
    <w:p>
      <w:pPr>
        <w:numPr>
          <w:ilvl w:val="0"/>
          <w:numId w:val="0"/>
        </w:numPr>
        <w:ind w:left="0" w:right="0" w:firstLine="482"/>
        <w:jc w:val="left"/>
        <w:keepLines w:val="0"/>
        <w:keepNext w:val="0"/>
        <w:pageBreakBefore w:val="0"/>
        <w:spacing w:line="440" w:lineRule="exact"/>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4"/>
          <w:szCs w:val="24"/>
          <w:highlight w:val="none"/>
          <w14:textFill>
            <w14:solidFill>
              <w14:schemeClr w14:val="tx1"/>
            </w14:solidFill>
          </w14:textFill>
        </w:rPr>
        <w:t xml:space="preserve">商务要求</w:t>
      </w:r>
      <w:r/>
    </w:p>
    <w:p>
      <w:pPr>
        <w:numPr>
          <w:ilvl w:val="0"/>
          <w:numId w:val="0"/>
        </w:numPr>
        <w:ind w:left="0" w:right="0" w:firstLine="482"/>
        <w:jc w:val="left"/>
        <w:keepLines w:val="0"/>
        <w:keepNext w:val="0"/>
        <w:pageBreakBefore w:val="0"/>
        <w:spacing w:line="440" w:lineRule="exact"/>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项目实施要求</w:t>
      </w:r>
      <w:bookmarkEnd w:id="37"/>
      <w:r/>
      <w:r/>
    </w:p>
    <w:p>
      <w:pPr>
        <w:ind w:left="0" w:right="0" w:firstLine="480"/>
        <w:keepLines w:val="0"/>
        <w:keepNext w:val="0"/>
        <w:pageBreakBefore w:val="0"/>
        <w:spacing w:after="0" w:line="44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outlineLvl w:val="9"/>
      </w:pPr>
      <w:r/>
      <w:bookmarkStart w:id="66" w:name="一实施周期"/>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w:t>
      </w:r>
      <w:bookmarkEnd w:id="66"/>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项目服务期限</w:t>
      </w:r>
      <w:r/>
    </w:p>
    <w:p>
      <w:pPr>
        <w:ind w:left="0" w:right="0" w:firstLine="480"/>
        <w:keepLines w:val="0"/>
        <w:keepNext w:val="0"/>
        <w:pageBreakBefore w:val="0"/>
        <w:spacing w:after="0" w:line="44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具备交付条件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采购人验收合格后30天</w:t>
      </w:r>
      <w:r>
        <w:rPr>
          <w:rFonts w:hint="eastAsia" w:ascii="宋体" w:hAnsi="宋体" w:eastAsia="宋体" w:cs="宋体"/>
          <w:color w:val="000000" w:themeColor="text1"/>
          <w:sz w:val="24"/>
          <w:szCs w:val="24"/>
          <w:highlight w:val="none"/>
          <w14:textFill>
            <w14:solidFill>
              <w14:schemeClr w14:val="tx1"/>
            </w14:solidFill>
          </w14:textFill>
        </w:rPr>
        <w:t xml:space="preserve">内完成现有业务系统迁移上云，逾期未完成采购人有权解除合同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项目服务期应从迁移完成之日起计算</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2年</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w:t>
      </w:r>
      <w:r/>
    </w:p>
    <w:p>
      <w:pPr>
        <w:ind w:left="0" w:right="0" w:firstLine="482"/>
        <w:keepLines w:val="0"/>
        <w:keepNext w:val="0"/>
        <w:pageBreakBefore w:val="0"/>
        <w:spacing w:after="0" w:line="440" w:lineRule="exact"/>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pPr>
      <w:r/>
      <w:bookmarkStart w:id="67" w:name="二扩容机制"/>
      <w:r>
        <w:rPr>
          <w:rFonts w:hint="eastAsia" w:ascii="宋体" w:hAnsi="宋体" w:eastAsia="宋体" w:cs="宋体"/>
          <w:b/>
          <w:color w:val="000000" w:themeColor="text1"/>
          <w:sz w:val="24"/>
          <w:szCs w:val="24"/>
          <w:highlight w:val="none"/>
          <w14:textFill>
            <w14:solidFill>
              <w14:schemeClr w14:val="tx1"/>
            </w14:solidFill>
          </w14:textFill>
        </w:rPr>
        <w:t xml:space="preserve">说明：本“项目服务期限”为不允许偏离的实质性要求和条件，如有偏离，在符合性审查时按照投标无效处理。</w:t>
      </w:r>
      <w:r/>
    </w:p>
    <w:p>
      <w:pPr>
        <w:ind w:left="0" w:right="0" w:firstLine="480"/>
        <w:keepLines w:val="0"/>
        <w:keepNext w:val="0"/>
        <w:pageBreakBefore w:val="0"/>
        <w:spacing w:after="0" w:line="44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扩容机制</w:t>
      </w:r>
      <w:bookmarkEnd w:id="67"/>
      <w:r/>
      <w:r/>
    </w:p>
    <w:p>
      <w:pPr>
        <w:ind w:left="0" w:right="0" w:firstLine="480"/>
        <w:keepLines w:val="0"/>
        <w:keepNext w:val="0"/>
        <w:pageBreakBefore w:val="0"/>
        <w:spacing w:after="0" w:line="44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本次云</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平台</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首期将支撑不少于存量云</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平台</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上的业务应用系统，根据具体业务应用系统实际情况可进行部分调整。服务期内云平台应根据业务发展的需要，云平台的资源能够快速、弹性和按需地自动化地供应，从而提供持续可靠的云服务能力。原则上，对于服务目录中基础服务需求且分配率大于80%的，需在</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个月内完成对应资源的扩容；若需新增云平台不具备的服务资源，需在</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个月内完成新增服务资源的建设。对于服务目录中未包含的服务需求，如需增加需由双方协商后进行服务内容新增并确定交付周期。</w:t>
      </w:r>
      <w:r/>
    </w:p>
    <w:p>
      <w:pPr>
        <w:ind w:left="0" w:right="0" w:firstLine="480"/>
        <w:keepLines w:val="0"/>
        <w:keepNext w:val="0"/>
        <w:pageBreakBefore w:val="0"/>
        <w:spacing w:after="0" w:line="440" w:lineRule="exac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outlineLvl w:val="9"/>
      </w:pPr>
      <w:r/>
      <w:bookmarkStart w:id="68" w:name="三服务评价"/>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3.系统迁移</w:t>
      </w:r>
      <w:r/>
    </w:p>
    <w:p>
      <w:pPr>
        <w:ind w:left="0" w:right="0" w:firstLine="480"/>
        <w:keepLines w:val="0"/>
        <w:keepNext w:val="0"/>
        <w:pageBreakBefore w:val="0"/>
        <w:spacing w:after="0" w:line="44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供应商须针对已运行在现有云</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计算资源中心</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的应用系统提供完整的迁移方案，确保迁移过程中业务连续和数据完整。原服务提供商将配合中标人完成数据的迁移工作，其余迁移工作须中标人独立解决，投标供应商应充分考虑各种迁移风险，相关迁移费用由中标人承担，项目服务期应从迁移完成之日起计算。未能如期完成，业主有权解除合同追究相关责任，并对中标方按虚假应标处理。供应商须针对本项目详细指标要求进行明确响应，针对采购要求如实描述是否偏离。</w:t>
      </w:r>
      <w:r/>
    </w:p>
    <w:p>
      <w:pPr>
        <w:ind w:left="0" w:right="0" w:firstLine="480"/>
        <w:keepLines w:val="0"/>
        <w:keepNext w:val="0"/>
        <w:pageBreakBefore w:val="0"/>
        <w:spacing w:after="0" w:line="440" w:lineRule="exact"/>
        <w:widowControl/>
        <w:rPr>
          <w:rFonts w:hint="eastAsia" w:ascii="宋体" w:hAnsi="宋体" w:eastAsia="宋体" w:cs="宋体"/>
          <w:b w:val="0"/>
          <w:bCs w:val="0"/>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服务（安装）地点要求：本项目云</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平台</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资源除异地备份外均需部署在</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丰县辖区</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范围内。</w:t>
      </w:r>
      <w:r/>
    </w:p>
    <w:p>
      <w:pPr>
        <w:ind w:left="0" w:right="0" w:firstLine="480"/>
        <w:keepLines w:val="0"/>
        <w:keepNext w:val="0"/>
        <w:pageBreakBefore w:val="0"/>
        <w:spacing w:after="0" w:line="44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服务评价</w:t>
      </w:r>
      <w:bookmarkEnd w:id="68"/>
      <w:r/>
      <w:r/>
    </w:p>
    <w:p>
      <w:pPr>
        <w:ind w:left="0" w:right="0" w:firstLine="480"/>
        <w:keepLines w:val="0"/>
        <w:keepNext w:val="0"/>
        <w:pageBreakBefore w:val="0"/>
        <w:spacing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建立服务质量评价体系，由采购人定期对云服务质量进行评估，评价结果与服务费用挂钩。</w:t>
      </w:r>
      <w:r/>
    </w:p>
    <w:p>
      <w:pPr>
        <w:pStyle w:val="1478"/>
        <w:ind w:left="0" w:right="0" w:firstLine="465"/>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（二）付款方式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见招标文件第五章《拟签订的合同文本》中</w:t>
      </w:r>
      <w:r>
        <w:rPr>
          <w:rFonts w:hint="eastAsia" w:ascii="宋体" w:hAnsi="宋体" w:eastAsia="宋体" w:cs="宋体"/>
          <w:bCs/>
          <w:color w:val="000000" w:themeColor="text1"/>
          <w:sz w:val="24"/>
          <w:szCs w:val="24"/>
          <w:highlight w:val="none"/>
          <w14:textFill>
            <w14:solidFill>
              <w14:schemeClr w14:val="tx1"/>
            </w14:solidFill>
          </w14:textFill>
        </w:rPr>
        <w:t xml:space="preserve">“三、合同价款</w:t>
      </w:r>
      <w:r>
        <w:rPr>
          <w:rFonts w:hint="eastAsia" w:ascii="宋体" w:hAnsi="宋体" w:eastAsia="宋体" w:cs="宋体"/>
          <w:color w:val="000000" w:themeColor="text1"/>
          <w:sz w:val="24"/>
          <w:szCs w:val="24"/>
          <w:highlight w:val="none"/>
          <w14:textFill>
            <w14:solidFill>
              <w14:schemeClr w14:val="tx1"/>
            </w14:solidFill>
          </w14:textFill>
        </w:rPr>
        <w:t xml:space="preserve">”及“四、款项结算”。</w:t>
      </w:r>
      <w:r/>
    </w:p>
    <w:p>
      <w:pPr>
        <w:pStyle w:val="1478"/>
        <w:ind w:left="0" w:right="0" w:firstLine="482"/>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说明：本“付款方式”为不允许偏离的实质性要求和条件，如有偏离，在符合性审查时按照投标无效处理。</w:t>
      </w:r>
      <w:r/>
    </w:p>
    <w:p>
      <w:pPr>
        <w:pStyle w:val="1106"/>
        <w:numPr>
          <w:ilvl w:val="0"/>
          <w:numId w:val="0"/>
        </w:numPr>
        <w:ind w:left="0" w:right="0" w:firstLine="480"/>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（三）</w:t>
      </w:r>
      <w:r>
        <w:rPr>
          <w:rFonts w:hint="eastAsia" w:ascii="宋体" w:hAnsi="宋体" w:eastAsia="宋体" w:cs="宋体"/>
          <w:color w:val="000000" w:themeColor="text1"/>
          <w:sz w:val="24"/>
          <w:szCs w:val="24"/>
          <w:highlight w:val="none"/>
          <w14:textFill>
            <w14:solidFill>
              <w14:schemeClr w14:val="tx1"/>
            </w14:solidFill>
          </w14:textFill>
        </w:rPr>
        <w:t xml:space="preserve">验收标准与要求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见招标文件第五章《拟签订的合同文本》中“七、服务考核与验收”。</w:t>
      </w:r>
      <w:r/>
    </w:p>
    <w:p>
      <w:pPr>
        <w:pStyle w:val="1106"/>
        <w:numPr>
          <w:ilvl w:val="0"/>
          <w:numId w:val="0"/>
        </w:numPr>
        <w:ind w:left="480" w:right="0"/>
        <w:keepLines w:val="0"/>
        <w:keepNext w:val="0"/>
        <w:pageBreakBefore w:val="0"/>
        <w:spacing w:line="440" w:lineRule="exact"/>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24"/>
          <w:szCs w:val="24"/>
          <w:highlight w:val="none"/>
          <w14:textFill>
            <w14:solidFill>
              <w14:schemeClr w14:val="tx1"/>
            </w14:solidFill>
          </w14:textFill>
        </w:rPr>
        <w:t xml:space="preserve">、关于投标报价的相关说明</w:t>
      </w:r>
      <w:r/>
    </w:p>
    <w:p>
      <w:pPr>
        <w:ind w:left="0" w:right="0" w:firstLine="480"/>
        <w:jc w:val="left"/>
        <w:keepLines w:val="0"/>
        <w:keepNext w:val="0"/>
        <w:pageBreakBefore w:val="0"/>
        <w:spacing w:line="440" w:lineRule="exact"/>
        <w:rPr>
          <w:rFonts w:hint="eastAsia" w:ascii="宋体" w:hAnsi="宋体" w:eastAsia="宋体" w:cs="宋体"/>
          <w:b w:val="0"/>
          <w:bCs w:val="0"/>
          <w:color w:val="000000" w:themeColor="text1"/>
          <w:sz w:val="24"/>
          <w:szCs w:val="24"/>
          <w:highlight w:val="none"/>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按照优惠率进行投标报价，</w:t>
      </w:r>
      <w:bookmarkStart w:id="69" w:name="OLE_LINK291"/>
      <w:r/>
      <w:bookmarkStart w:id="70" w:name="OLE_LINK290"/>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不接受优惠率≤0%或优惠率≥100%的投标报价。</w:t>
      </w:r>
      <w:bookmarkEnd w:id="69"/>
      <w:r/>
      <w:bookmarkEnd w:id="70"/>
      <w:r/>
      <w:r/>
    </w:p>
    <w:p>
      <w:pPr>
        <w:ind w:left="0" w:right="0" w:firstLine="480"/>
        <w:jc w:val="left"/>
        <w:keepLines w:val="0"/>
        <w:keepNext w:val="0"/>
        <w:pageBreakBefore w:val="0"/>
        <w:spacing w:line="440" w:lineRule="exact"/>
        <w:rPr>
          <w:rFonts w:hint="eastAsia" w:ascii="宋体" w:hAnsi="宋体" w:eastAsia="宋体" w:cs="宋体"/>
          <w:b w:val="0"/>
          <w:bCs w:val="0"/>
          <w:color w:val="000000" w:themeColor="text1"/>
          <w:sz w:val="24"/>
          <w:szCs w:val="24"/>
          <w:highlight w:val="none"/>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本招标文件中《</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云平台服务条目清单及价格</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》中各项服务“价格标准”为最高限价，投标人在投标报价时，必须以《</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云平台服务条目清单及价格</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》中“价格标准”为基准报出统一优惠率。</w:t>
      </w:r>
      <w:r/>
    </w:p>
    <w:p>
      <w:pPr>
        <w:ind w:left="0" w:right="0" w:firstLine="480"/>
        <w:jc w:val="left"/>
        <w:keepLines w:val="0"/>
        <w:keepNext w:val="0"/>
        <w:pageBreakBefore w:val="0"/>
        <w:spacing w:line="440" w:lineRule="exact"/>
        <w:rPr>
          <w:rFonts w:hint="eastAsia" w:ascii="宋体" w:hAnsi="宋体" w:eastAsia="宋体" w:cs="宋体"/>
          <w:b w:val="0"/>
          <w:bCs w:val="0"/>
          <w:color w:val="000000" w:themeColor="text1"/>
          <w:sz w:val="24"/>
          <w:szCs w:val="24"/>
          <w:highlight w:val="none"/>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不接受对《</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云平台服务条目清单及价格</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》中各分项或子项进行不同的优惠率报价，且优惠率必须为固定值，不得是区间值。</w:t>
      </w:r>
      <w:r/>
    </w:p>
    <w:p>
      <w:pPr>
        <w:ind w:left="0" w:right="0" w:firstLine="480"/>
        <w:jc w:val="left"/>
        <w:keepLines w:val="0"/>
        <w:keepNext w:val="0"/>
        <w:pageBreakBefore w:val="0"/>
        <w:spacing w:line="440" w:lineRule="exact"/>
        <w:rPr>
          <w:rFonts w:hint="eastAsia" w:ascii="宋体" w:hAnsi="宋体" w:eastAsia="宋体" w:cs="宋体"/>
          <w:b w:val="0"/>
          <w:bCs w:val="0"/>
          <w:color w:val="000000" w:themeColor="text1"/>
          <w:sz w:val="24"/>
          <w:szCs w:val="24"/>
          <w:highlight w:val="none"/>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遵循“先用后付、按实结算”的原则，根据云资源实际使用量进行计费，但不超过采购预算。云资源开通当月开始计费，费用按年度结算，每年度结束后10个工作日中标人提供资源使用情况清单，经采购人审核后付款。具体付款方式以合同为准。</w:t>
      </w:r>
      <w:r/>
    </w:p>
    <w:p>
      <w:pPr>
        <w:ind w:left="0" w:right="0" w:firstLine="480"/>
        <w:keepLines w:val="0"/>
        <w:keepNext w:val="0"/>
        <w:pageBreakBefore w:val="0"/>
        <w:spacing w:line="440" w:lineRule="exact"/>
        <w:rPr>
          <w:rFonts w:hint="eastAsia" w:ascii="宋体" w:hAnsi="宋体" w:eastAsia="宋体" w:cs="宋体"/>
          <w:b w:val="0"/>
          <w:bCs w:val="0"/>
          <w:color w:val="000000" w:themeColor="text1"/>
          <w:sz w:val="24"/>
          <w:szCs w:val="24"/>
          <w:highlight w:val="none"/>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报价需充分考虑</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丰县云计算资源平台服务项目</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期限（合同期限）内的市场因素</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政策因素</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和成本变化状况的风险。</w:t>
      </w:r>
      <w:r/>
    </w:p>
    <w:p>
      <w:pPr>
        <w:ind w:left="0" w:right="0" w:firstLine="480"/>
        <w:keepLines w:val="0"/>
        <w:keepNext w:val="0"/>
        <w:pageBreakBefore w:val="0"/>
        <w:spacing w:line="440" w:lineRule="exact"/>
        <w:rPr>
          <w:rFonts w:hint="eastAsia" w:ascii="宋体" w:hAnsi="宋体" w:eastAsia="宋体" w:cs="宋体"/>
          <w:b w:val="0"/>
          <w:bCs w:val="0"/>
          <w:color w:val="000000" w:themeColor="text1"/>
          <w:sz w:val="24"/>
          <w:szCs w:val="24"/>
          <w:highlight w:val="none"/>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采购人不支付报价以外的任何费用。</w:t>
      </w:r>
      <w:r/>
    </w:p>
    <w:p>
      <w:pPr>
        <w:ind w:left="0" w:right="0" w:firstLine="480"/>
        <w:keepLines w:val="0"/>
        <w:keepNext w:val="0"/>
        <w:pageBreakBefore w:val="0"/>
        <w:spacing w:line="440" w:lineRule="exac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迁移过程中产生的人力物力、协调配合及存量云平台产生的云服务费等所有相关费用</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均由中标人承担。</w:t>
      </w:r>
      <w:r/>
    </w:p>
    <w:p>
      <w:pPr>
        <w:ind w:left="0" w:right="0" w:firstLine="480"/>
        <w:keepLines w:val="0"/>
        <w:keepNext w:val="0"/>
        <w:pageBreakBefore w:val="0"/>
        <w:spacing w:line="440" w:lineRule="exact"/>
        <w:rPr>
          <w:rFonts w:hint="eastAsia" w:ascii="宋体" w:hAnsi="宋体" w:eastAsia="宋体" w:cs="宋体"/>
          <w:b w:val="0"/>
          <w:bCs w:val="0"/>
          <w:color w:val="000000" w:themeColor="text1"/>
          <w:sz w:val="24"/>
          <w:szCs w:val="24"/>
          <w:highlight w:val="none"/>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八</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投标报价一次报定,投标人的投标报价在合同执行过程中是固定的，不得以任何理由予以变更。投标报价为最终报价，投标人不得再要求追加任何费用。同时，除非合同条款中另有规定，否则，投标人所报价格在合同实施期间不因市场变化因素而变动,政策性条款例外。</w:t>
      </w:r>
      <w:r/>
    </w:p>
    <w:p>
      <w:pPr>
        <w:ind w:left="0" w:right="0" w:firstLine="361"/>
        <w:keepLines w:val="0"/>
        <w:keepNext w:val="0"/>
        <w:pageBreakBefore w:val="0"/>
        <w:spacing w:line="440" w:lineRule="exact"/>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说明：本“关于投标报价的相关说明”为不允许偏离的实质性要求和条件，如有偏离，在符合性审查时按照投标无效处理。</w:t>
      </w:r>
      <w:r/>
    </w:p>
    <w:p>
      <w:pPr>
        <w:ind w:left="0" w:right="0" w:firstLine="361"/>
        <w:keepLines w:val="0"/>
        <w:keepNext w:val="0"/>
        <w:pageBreakBefore w:val="0"/>
        <w:spacing w:line="440" w:lineRule="exact"/>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ind w:left="0" w:right="0" w:firstLine="361"/>
        <w:keepLines w:val="0"/>
        <w:keepNext w:val="0"/>
        <w:pageBreakBefore w:val="0"/>
        <w:spacing w:line="440" w:lineRule="exact"/>
        <w:rPr>
          <w:rFonts w:hint="eastAsia" w:ascii="宋体" w:hAnsi="宋体" w:eastAsia="宋体" w:cs="宋体"/>
          <w:b/>
          <w:color w:val="000000" w:themeColor="text1"/>
          <w:sz w:val="32"/>
          <w:szCs w:val="32"/>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b/>
          <w:bCs/>
          <w:color w:val="000000" w:themeColor="text1"/>
          <w:sz w:val="24"/>
          <w:szCs w:val="24"/>
          <w:highlight w:val="none"/>
          <w14:textFill>
            <w14:solidFill>
              <w14:schemeClr w14:val="tx1"/>
            </w14:solidFill>
          </w14:textFill>
        </w:rPr>
        <w:t xml:space="preserve">其他要求</w:t>
      </w:r>
      <w:r>
        <w:rPr>
          <w:rFonts w:hint="eastAsia" w:ascii="宋体" w:hAnsi="宋体" w:eastAsia="宋体" w:cs="宋体"/>
          <w:color w:val="000000" w:themeColor="text1"/>
          <w:sz w:val="24"/>
          <w:szCs w:val="24"/>
          <w:highlight w:val="none"/>
          <w14:textFill>
            <w14:solidFill>
              <w14:schemeClr w14:val="tx1"/>
            </w14:solidFill>
          </w14:textFill>
        </w:rPr>
        <w:t xml:space="preserve">：见招标文件第五章《拟签订的合同文本》。</w:t>
      </w:r>
      <w:r/>
    </w:p>
    <w:p>
      <w:pPr>
        <w:ind w:left="0" w:firstLine="482"/>
        <w:keepLines w:val="0"/>
        <w:keepNext w:val="0"/>
        <w:pageBreakBefore w:val="0"/>
        <w:spacing w:line="500" w:lineRule="exact"/>
        <w:widowControl w:val="off"/>
        <w:rPr>
          <w:rFonts w:hint="eastAsia" w:ascii="宋体" w:hAnsi="宋体" w:eastAsia="宋体" w:cs="宋体"/>
          <w:b/>
          <w:bCs w:val="0"/>
          <w:color w:val="000000" w:themeColor="text1"/>
          <w:sz w:val="24"/>
          <w:highlight w:val="none"/>
          <w14:textFill>
            <w14:solidFill>
              <w14:schemeClr w14:val="tx1"/>
            </w14:solidFill>
          </w14:textFill>
        </w:rPr>
        <w:outlineLvl w:val="9"/>
      </w:pPr>
      <w:r>
        <w:rPr>
          <w:rFonts w:hint="eastAsia" w:ascii="宋体" w:hAnsi="宋体" w:eastAsia="宋体" w:cs="宋体"/>
          <w:b/>
          <w:bCs w:val="0"/>
          <w:color w:val="000000" w:themeColor="text1"/>
          <w:sz w:val="24"/>
          <w:highlight w:val="none"/>
          <w14:textFill>
            <w14:solidFill>
              <w14:schemeClr w14:val="tx1"/>
            </w14:solidFill>
          </w14:textFill>
        </w:rPr>
      </w:r>
      <w:r/>
    </w:p>
    <w:p>
      <w:pPr>
        <w:pStyle w:val="1347"/>
        <w:ind w:left="0" w:firstLine="2168"/>
        <w:jc w:val="left"/>
        <w:rPr>
          <w:rFonts w:hint="eastAsia" w:ascii="宋体" w:hAnsi="宋体" w:eastAsia="宋体" w:cs="宋体"/>
          <w:color w:val="000000" w:themeColor="text1"/>
          <w:highlight w:val="none"/>
          <w14:textFill>
            <w14:solidFill>
              <w14:schemeClr w14:val="tx1"/>
            </w14:solidFill>
          </w14:textFill>
        </w:rPr>
      </w:pPr>
      <w:r/>
      <w:bookmarkStart w:id="71" w:name="_Toc4773"/>
      <w:r/>
      <w:r/>
    </w:p>
    <w:p>
      <w:pPr>
        <w:pStyle w:val="1347"/>
        <w:ind w:left="0" w:firstLine="2168"/>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第七章 投标文件相关格式</w:t>
      </w:r>
      <w:bookmarkEnd w:id="10"/>
      <w:r/>
      <w:bookmarkEnd w:id="71"/>
      <w:r/>
      <w:r/>
    </w:p>
    <w:p>
      <w:pPr>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0"/>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目     录</w:t>
      </w:r>
      <w:r/>
    </w:p>
    <w:p>
      <w:pPr>
        <w:pStyle w:val="113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311"/>
        <w:ind w:firstLine="560"/>
        <w:spacing w:line="46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1.投标函</w:t>
      </w:r>
      <w:r/>
    </w:p>
    <w:p>
      <w:pPr>
        <w:pStyle w:val="1311"/>
        <w:ind w:firstLine="560"/>
        <w:spacing w:line="46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2.开标一览表</w:t>
      </w:r>
      <w:r/>
    </w:p>
    <w:p>
      <w:pPr>
        <w:pStyle w:val="1311"/>
        <w:ind w:firstLine="560"/>
        <w:spacing w:line="46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 xml:space="preserve">3.</w:t>
      </w:r>
      <w:r>
        <w:rPr>
          <w:rFonts w:hint="eastAsia" w:ascii="宋体" w:hAnsi="宋体" w:cs="宋体"/>
          <w:color w:val="000000" w:themeColor="text1"/>
          <w:sz w:val="28"/>
          <w:szCs w:val="28"/>
          <w:highlight w:val="none"/>
          <w14:textFill>
            <w14:solidFill>
              <w14:schemeClr w14:val="tx1"/>
            </w14:solidFill>
          </w14:textFill>
        </w:rPr>
        <w:t xml:space="preserve">偏离表</w:t>
      </w:r>
      <w:r/>
    </w:p>
    <w:p>
      <w:pPr>
        <w:pStyle w:val="1311"/>
        <w:ind w:firstLine="560"/>
        <w:spacing w:line="46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 xml:space="preserve">4</w:t>
      </w:r>
      <w:r>
        <w:rPr>
          <w:rFonts w:hint="eastAsia" w:ascii="宋体" w:hAnsi="宋体" w:cs="宋体"/>
          <w:color w:val="000000" w:themeColor="text1"/>
          <w:sz w:val="28"/>
          <w:szCs w:val="28"/>
          <w:highlight w:val="none"/>
          <w14:textFill>
            <w14:solidFill>
              <w14:schemeClr w14:val="tx1"/>
            </w14:solidFill>
          </w14:textFill>
        </w:rPr>
        <w:t xml:space="preserve">.法定代表人授权书</w:t>
      </w:r>
      <w:r/>
    </w:p>
    <w:p>
      <w:pPr>
        <w:pStyle w:val="1311"/>
        <w:ind w:firstLine="560"/>
        <w:spacing w:line="46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 xml:space="preserve">5</w:t>
      </w:r>
      <w:r>
        <w:rPr>
          <w:rFonts w:hint="eastAsia" w:ascii="宋体" w:hAnsi="宋体" w:cs="宋体"/>
          <w:color w:val="000000" w:themeColor="text1"/>
          <w:sz w:val="28"/>
          <w:szCs w:val="28"/>
          <w:highlight w:val="none"/>
          <w14:textFill>
            <w14:solidFill>
              <w14:schemeClr w14:val="tx1"/>
            </w14:solidFill>
          </w14:textFill>
        </w:rPr>
        <w:t xml:space="preserve">.中小企业声明函</w:t>
      </w:r>
      <w:r/>
    </w:p>
    <w:p>
      <w:pPr>
        <w:pStyle w:val="1311"/>
        <w:ind w:firstLine="560"/>
        <w:spacing w:line="46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 xml:space="preserve">6</w:t>
      </w:r>
      <w:r>
        <w:rPr>
          <w:rFonts w:hint="eastAsia" w:ascii="宋体" w:hAnsi="宋体" w:cs="宋体"/>
          <w:color w:val="000000" w:themeColor="text1"/>
          <w:sz w:val="28"/>
          <w:szCs w:val="28"/>
          <w:highlight w:val="none"/>
          <w14:textFill>
            <w14:solidFill>
              <w14:schemeClr w14:val="tx1"/>
            </w14:solidFill>
          </w14:textFill>
        </w:rPr>
        <w:t xml:space="preserve">.具备履行合同所必需的设备和专业技术能力的书面声明</w:t>
      </w:r>
      <w:r/>
    </w:p>
    <w:p>
      <w:pPr>
        <w:pStyle w:val="1311"/>
        <w:ind w:firstLine="560"/>
        <w:spacing w:line="46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 xml:space="preserve">7</w:t>
      </w:r>
      <w:r>
        <w:rPr>
          <w:rFonts w:hint="eastAsia" w:ascii="宋体" w:hAnsi="宋体" w:cs="宋体"/>
          <w:color w:val="000000" w:themeColor="text1"/>
          <w:sz w:val="28"/>
          <w:szCs w:val="28"/>
          <w:highlight w:val="none"/>
          <w14:textFill>
            <w14:solidFill>
              <w14:schemeClr w14:val="tx1"/>
            </w14:solidFill>
          </w14:textFill>
        </w:rPr>
        <w:t xml:space="preserve">.投标人参加政府采购活动前3年内在经营活动中没有重大违法记录的书</w:t>
      </w:r>
      <w:r>
        <w:rPr>
          <w:rFonts w:hint="eastAsia" w:ascii="宋体" w:hAnsi="宋体" w:eastAsia="宋体" w:cs="宋体"/>
          <w:color w:val="000000" w:themeColor="text1"/>
          <w:sz w:val="28"/>
          <w:szCs w:val="28"/>
          <w:highlight w:val="none"/>
          <w14:textFill>
            <w14:solidFill>
              <w14:schemeClr w14:val="tx1"/>
            </w14:solidFill>
          </w14:textFill>
        </w:rPr>
        <w:t xml:space="preserve">面声明</w:t>
      </w:r>
      <w:r/>
    </w:p>
    <w:p>
      <w:pPr>
        <w:pStyle w:val="1517"/>
        <w:ind w:firstLine="560"/>
        <w:spacing w:line="46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 xml:space="preserve">8</w:t>
      </w:r>
      <w:r>
        <w:rPr>
          <w:rFonts w:hint="eastAsia" w:ascii="宋体" w:hAnsi="宋体" w:cs="宋体"/>
          <w:color w:val="000000" w:themeColor="text1"/>
          <w:sz w:val="28"/>
          <w:szCs w:val="28"/>
          <w:highlight w:val="none"/>
          <w14:textFill>
            <w14:solidFill>
              <w14:schemeClr w14:val="tx1"/>
            </w14:solidFill>
          </w14:textFill>
        </w:rPr>
        <w:t xml:space="preserve">.投标人相关承诺</w:t>
      </w:r>
      <w:r/>
    </w:p>
    <w:p>
      <w:pPr>
        <w:pStyle w:val="1517"/>
        <w:ind w:firstLine="560"/>
        <w:spacing w:line="46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8"/>
          <w:szCs w:val="28"/>
          <w:highlight w:val="none"/>
          <w14:textFill>
            <w14:solidFill>
              <w14:schemeClr w14:val="tx1"/>
            </w14:solidFill>
          </w14:textFill>
        </w:rPr>
        <w:t xml:space="preserve">.投标人书面声明</w:t>
      </w:r>
      <w:r/>
    </w:p>
    <w:p>
      <w:pPr>
        <w:pStyle w:val="1517"/>
        <w:ind w:firstLine="560"/>
        <w:spacing w:line="46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10.采购需求符合性条件响应表</w:t>
      </w:r>
      <w:r/>
    </w:p>
    <w:p>
      <w:pPr>
        <w:pStyle w:val="1517"/>
        <w:ind w:firstLine="560"/>
        <w:spacing w:line="46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8"/>
          <w:szCs w:val="28"/>
          <w:highlight w:val="none"/>
          <w14:textFill>
            <w14:solidFill>
              <w14:schemeClr w14:val="tx1"/>
            </w14:solidFill>
          </w14:textFill>
        </w:rPr>
        <w:t xml:space="preserve">.投标人基本情况表</w:t>
      </w:r>
      <w:r/>
    </w:p>
    <w:p>
      <w:pPr>
        <w:pStyle w:val="1517"/>
        <w:ind w:firstLine="560"/>
        <w:spacing w:line="460" w:lineRule="exact"/>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8"/>
          <w:szCs w:val="28"/>
          <w:highlight w:val="none"/>
          <w14:textFill>
            <w14:solidFill>
              <w14:schemeClr w14:val="tx1"/>
            </w14:solidFill>
          </w14:textFill>
        </w:rPr>
        <w:t xml:space="preserve">关于符合本国产品标准的声明函</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517"/>
        <w:ind w:firstLine="560"/>
        <w:spacing w:line="46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附：</w:t>
      </w:r>
      <w:r>
        <w:rPr>
          <w:rFonts w:hint="eastAsia" w:ascii="宋体" w:hAnsi="宋体" w:eastAsia="宋体" w:cs="宋体"/>
          <w:color w:val="000000" w:themeColor="text1"/>
          <w:sz w:val="28"/>
          <w:szCs w:val="28"/>
          <w:highlight w:val="none"/>
          <w14:textFill>
            <w14:solidFill>
              <w14:schemeClr w14:val="tx1"/>
            </w14:solidFill>
          </w14:textFill>
        </w:rPr>
        <w:t xml:space="preserve">质疑函范本</w:t>
      </w:r>
      <w:r/>
    </w:p>
    <w:p>
      <w:pPr>
        <w:ind w:firstLine="0"/>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ind w:firstLine="0"/>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ind w:firstLine="0"/>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ind w:firstLine="0"/>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ind w:firstLine="0"/>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ind w:firstLine="0"/>
        <w:jc w:val="both"/>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ind w:firstLine="0"/>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ind w:firstLine="0"/>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ind w:firstLine="0"/>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1. </w:t>
      </w:r>
      <w:r>
        <w:rPr>
          <w:rFonts w:hint="eastAsia" w:ascii="宋体" w:hAnsi="宋体" w:eastAsia="宋体" w:cs="宋体"/>
          <w:b/>
          <w:bCs/>
          <w:color w:val="000000" w:themeColor="text1"/>
          <w:sz w:val="30"/>
          <w:szCs w:val="30"/>
          <w:highlight w:val="none"/>
          <w14:textFill>
            <w14:solidFill>
              <w14:schemeClr w14:val="tx1"/>
            </w14:solidFill>
          </w14:textFill>
        </w:rPr>
        <w:t xml:space="preserve">投标</w:t>
      </w:r>
      <w:r>
        <w:rPr>
          <w:rFonts w:hint="eastAsia" w:ascii="宋体" w:hAnsi="宋体" w:eastAsia="宋体" w:cs="宋体"/>
          <w:b/>
          <w:bCs/>
          <w:color w:val="000000" w:themeColor="text1"/>
          <w:sz w:val="28"/>
          <w:szCs w:val="28"/>
          <w:highlight w:val="none"/>
          <w14:textFill>
            <w14:solidFill>
              <w14:schemeClr w14:val="tx1"/>
            </w14:solidFill>
          </w14:textFill>
        </w:rPr>
        <w:t xml:space="preserve">函</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致：</w:t>
      </w:r>
      <w:r>
        <w:rPr>
          <w:rFonts w:hint="eastAsia" w:ascii="宋体" w:hAnsi="宋体" w:eastAsia="宋体" w:cs="宋体"/>
          <w:color w:val="000000" w:themeColor="text1"/>
          <w:highlight w:val="none"/>
          <w:u w:val="single"/>
          <w14:textFill>
            <w14:solidFill>
              <w14:schemeClr w14:val="tx1"/>
            </w14:solidFill>
          </w14:textFill>
        </w:rPr>
        <w:t xml:space="preserve">丰县公共资源交易中心  </w:t>
      </w:r>
      <w:r/>
    </w:p>
    <w:p>
      <w:pPr>
        <w:ind w:firstLine="48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根据</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丰县云计算资源平台服务</w:t>
      </w:r>
      <w:r>
        <w:rPr>
          <w:rFonts w:hint="eastAsia" w:ascii="宋体" w:hAnsi="宋体" w:eastAsia="宋体" w:cs="宋体"/>
          <w:color w:val="000000" w:themeColor="text1"/>
          <w:highlight w:val="none"/>
          <w14:textFill>
            <w14:solidFill>
              <w14:schemeClr w14:val="tx1"/>
            </w14:solidFill>
          </w14:textFill>
        </w:rPr>
        <w:t xml:space="preserve">[项目编号：</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JSZC-320321-FXZX-G2026-0006</w:t>
      </w:r>
      <w:r>
        <w:rPr>
          <w:rFonts w:hint="eastAsia" w:ascii="宋体" w:hAnsi="宋体" w:eastAsia="宋体" w:cs="宋体"/>
          <w:color w:val="000000" w:themeColor="text1"/>
          <w:highlight w:val="none"/>
          <w14:textFill>
            <w14:solidFill>
              <w14:schemeClr w14:val="tx1"/>
            </w14:solidFill>
          </w14:textFill>
        </w:rPr>
        <w:t xml:space="preserve">]招标文件，</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 xml:space="preserve">姓名)</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代表我方</w:t>
      </w:r>
      <w:r>
        <w:rPr>
          <w:rFonts w:hint="eastAsia" w:ascii="宋体" w:hAnsi="宋体" w:eastAsia="宋体" w:cs="宋体"/>
          <w:color w:val="000000" w:themeColor="text1"/>
          <w:szCs w:val="21"/>
          <w:highlight w:val="none"/>
          <w:u w:val="single"/>
          <w14:textFill>
            <w14:solidFill>
              <w14:schemeClr w14:val="tx1"/>
            </w14:solidFill>
          </w14:textFill>
        </w:rPr>
        <w:t xml:space="preserve">（投标人的名称）</w:t>
      </w:r>
      <w:r>
        <w:rPr>
          <w:rFonts w:hint="eastAsia" w:ascii="宋体" w:hAnsi="宋体" w:eastAsia="宋体" w:cs="宋体"/>
          <w:color w:val="000000" w:themeColor="text1"/>
          <w:highlight w:val="none"/>
          <w14:textFill>
            <w14:solidFill>
              <w14:schemeClr w14:val="tx1"/>
            </w14:solidFill>
          </w14:textFill>
        </w:rPr>
        <w:t xml:space="preserve">全权处理本次投标的有关事宜。</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据此函，投标人承诺并同意如下： </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1.投标人唯一投标报价见《开标一览表》。</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2.投标人将按招标文件的规定履行合同责任和义务。</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3.投标人已详细审查全部招标文件，包括第[插入编号] [补遗书][如果有的话]。投标人完全理解并同意放弃对这方面有不明及误解的权力。</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4.投标有效期为开标之日后</w:t>
      </w:r>
      <w:r>
        <w:rPr>
          <w:rFonts w:hint="eastAsia" w:ascii="宋体" w:hAnsi="宋体" w:eastAsia="宋体" w:cs="宋体"/>
          <w:color w:val="000000" w:themeColor="text1"/>
          <w:highlight w:val="none"/>
          <w:u w:val="single"/>
          <w14:textFill>
            <w14:solidFill>
              <w14:schemeClr w14:val="tx1"/>
            </w14:solidFill>
          </w14:textFill>
        </w:rPr>
        <w:t xml:space="preserve">90</w:t>
      </w:r>
      <w:r>
        <w:rPr>
          <w:rFonts w:hint="eastAsia" w:ascii="宋体" w:hAnsi="宋体" w:eastAsia="宋体" w:cs="宋体"/>
          <w:color w:val="000000" w:themeColor="text1"/>
          <w:highlight w:val="none"/>
          <w14:textFill>
            <w14:solidFill>
              <w14:schemeClr w14:val="tx1"/>
            </w14:solidFill>
          </w14:textFill>
        </w:rPr>
        <w:t xml:space="preserve">天。</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5.投标人同意提供按照贵方可能要求的与其投标有关的一切数据或资料，完全理解贵方不一定接受最低价的投标或收到的任何投标。</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6.丰县公共资源交易中心有权将我单位本项目的《开标一览表》《分项价格表》《中小企业声明函》（如有）《残疾人福利性单位声明函》（如有）作为《中标结果公告》的附件予以公告</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right="34"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8.与本投标有关的一切正式往来信函请寄：</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地址： </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电话： </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传真： </w:t>
      </w:r>
      <w:r/>
    </w:p>
    <w:p>
      <w:pPr>
        <w:pStyle w:val="112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right"/>
        <w:keepLines w:val="0"/>
        <w:keepNext w:val="0"/>
        <w:pageBreakBefore w:val="0"/>
        <w:spacing w:line="500" w:lineRule="exact"/>
        <w:widowControl w:val="off"/>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投标人名称（电子签章）： ____________                     </w:t>
      </w:r>
      <w:r/>
    </w:p>
    <w:p>
      <w:pPr>
        <w:ind w:firstLine="480"/>
        <w:jc w:val="center"/>
        <w:keepLines w:val="0"/>
        <w:keepNext w:val="0"/>
        <w:pageBreakBefore w:val="0"/>
        <w:spacing w:line="500" w:lineRule="exact"/>
        <w:widowControl w:val="off"/>
        <w:rPr>
          <w:rFonts w:hint="default" w:ascii="宋体" w:hAnsi="宋体" w:eastAsia="宋体" w:cs="宋体"/>
          <w:color w:val="000000" w:themeColor="text1"/>
          <w:highlight w:val="none"/>
          <w:lang w:val="en-US" w:eastAsia="zh-CN"/>
          <w14:textFill>
            <w14:solidFill>
              <w14:schemeClr w14:val="tx1"/>
            </w14:solidFill>
          </w14:textFill>
        </w:rPr>
        <w:sectPr>
          <w:headerReference w:type="default" r:id="rId12"/>
          <w:footerReference w:type="default" r:id="rId23"/>
          <w:footnotePr/>
          <w:endnotePr/>
          <w:type w:val="nextPage"/>
          <w:pgSz w:w="11906" w:h="16838" w:orient="portrait"/>
          <w:pgMar w:top="1440" w:right="1466" w:bottom="1440" w:left="1560" w:header="851" w:footer="992" w:gutter="0"/>
          <w:cols w:num="1" w:sep="0" w:space="1701" w:equalWidth="1"/>
          <w:docGrid w:linePitch="360"/>
        </w:sectPr>
        <w:outlineLvl w:val="9"/>
      </w:pP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日  期：   年  月</w:t>
      </w:r>
      <w:r>
        <w:rPr>
          <w:rFonts w:hint="eastAsia" w:ascii="宋体" w:hAnsi="宋体" w:eastAsia="宋体" w:cs="宋体"/>
          <w:color w:val="000000" w:themeColor="text1"/>
          <w:highlight w:val="none"/>
          <w:lang w:val="en-US" w:eastAsia="zh-CN"/>
          <w14:textFill>
            <w14:solidFill>
              <w14:schemeClr w14:val="tx1"/>
            </w14:solidFill>
          </w14:textFill>
        </w:rPr>
        <w:t xml:space="preserve"> 日</w:t>
      </w:r>
      <w:r/>
    </w:p>
    <w:p>
      <w:pPr>
        <w:ind w:firstLine="0"/>
        <w:jc w:val="left"/>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r>
      <w:r/>
    </w:p>
    <w:p>
      <w:pPr>
        <w:ind w:firstLine="0"/>
        <w:jc w:val="left"/>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r>
      <w:r/>
    </w:p>
    <w:p>
      <w:pPr>
        <w:numPr>
          <w:ilvl w:val="0"/>
          <w:numId w:val="9"/>
        </w:numPr>
        <w:ind w:firstLine="0"/>
        <w:jc w:val="center"/>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开标一览表</w:t>
      </w:r>
      <w:r/>
    </w:p>
    <w:p>
      <w:pPr>
        <w:pStyle w:val="1144"/>
        <w:ind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宋体" w:hAnsi="宋体" w:eastAsia="宋体" w:cs="宋体"/>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丰县云计算资源平台服务</w:t>
      </w:r>
      <w:r/>
    </w:p>
    <w:p>
      <w:pP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JSZC-320321-FXZX-G2026-0006</w:t>
      </w:r>
      <w:r/>
    </w:p>
    <w:tbl>
      <w:tblPr>
        <w:tblStyle w:val="1105"/>
        <w:tblW w:w="8914" w:type="dxa"/>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89"/>
        <w:gridCol w:w="3855"/>
        <w:gridCol w:w="1770"/>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28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项目名称</w:t>
            </w:r>
            <w:r/>
          </w:p>
        </w:tc>
        <w:tc>
          <w:tcPr>
            <w:tcBorders>
              <w:top w:val="single" w:color="000000" w:sz="6" w:space="0"/>
              <w:left w:val="single" w:color="000000" w:sz="2" w:space="0"/>
              <w:bottom w:val="single" w:color="000000" w:sz="2" w:space="0"/>
              <w:right w:val="single" w:color="auto" w:sz="4" w:space="0"/>
            </w:tcBorders>
            <w:tcW w:w="385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优惠率%</w:t>
            </w:r>
            <w:r/>
          </w:p>
        </w:tc>
        <w:tc>
          <w:tcPr>
            <w:tcBorders>
              <w:top w:val="single" w:color="000000" w:sz="6" w:space="0"/>
              <w:left w:val="single" w:color="auto" w:sz="4" w:space="0"/>
              <w:bottom w:val="single" w:color="000000" w:sz="2" w:space="0"/>
              <w:right w:val="single" w:color="000000" w:sz="2" w:space="0"/>
            </w:tcBorders>
            <w:tcW w:w="177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w:t>
            </w:r>
            <w:r/>
          </w:p>
        </w:tc>
      </w:tr>
      <w:tr>
        <w:trPr>
          <w:cantSplit/>
          <w:jc w:val="center"/>
          <w:trHeight w:val="923"/>
        </w:trPr>
        <w:tc>
          <w:tcPr>
            <w:tcBorders>
              <w:top w:val="single" w:color="000000" w:sz="2" w:space="0"/>
              <w:left w:val="single" w:color="000000" w:sz="6" w:space="0"/>
              <w:right w:val="single" w:color="000000" w:sz="2" w:space="0"/>
            </w:tcBorders>
            <w:tcW w:w="328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丰县云计算资源平台服务</w:t>
            </w:r>
            <w:r/>
          </w:p>
        </w:tc>
        <w:tc>
          <w:tcPr>
            <w:tcBorders>
              <w:top w:val="single" w:color="000000" w:sz="2" w:space="0"/>
              <w:left w:val="single" w:color="000000" w:sz="2" w:space="0"/>
              <w:right w:val="single" w:color="auto" w:sz="4" w:space="0"/>
            </w:tcBorders>
            <w:tcW w:w="385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2" w:space="0"/>
              <w:left w:val="single" w:color="auto" w:sz="4" w:space="0"/>
              <w:right w:val="single" w:color="000000" w:sz="2" w:space="0"/>
            </w:tcBorders>
            <w:tcW w:w="177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（电子签章）</w:t>
      </w:r>
      <w:r/>
    </w:p>
    <w:p>
      <w:pPr>
        <w:ind w:firstLine="31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注：此表在政府采购客户端工具中输入优惠率后，自动生成。</w:t>
      </w:r>
      <w:r/>
    </w:p>
    <w:p>
      <w:pPr>
        <w:pStyle w:val="1144"/>
        <w:ind w:firstLine="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144"/>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0"/>
        <w:jc w:val="left"/>
        <w:rPr>
          <w:rFonts w:hint="eastAsia" w:ascii="宋体" w:hAnsi="宋体" w:eastAsia="宋体" w:cs="宋体"/>
          <w:color w:val="000000" w:themeColor="text1"/>
          <w:sz w:val="24"/>
          <w:szCs w:val="24"/>
          <w:highlight w:val="none"/>
          <w14:textFill>
            <w14:solidFill>
              <w14:schemeClr w14:val="tx1"/>
            </w14:solidFill>
          </w14:textFill>
        </w:rPr>
      </w:pPr>
      <w:r/>
      <w:bookmarkStart w:id="72" w:name="_Toc26100_WPSOffice_Level2"/>
      <w:r/>
      <w:bookmarkStart w:id="73" w:name="_Toc31553_WPSOffice_Level2"/>
      <w:r/>
      <w:r/>
    </w:p>
    <w:p>
      <w:pPr>
        <w:ind w:firstLine="0"/>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0"/>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0"/>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0"/>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0"/>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0"/>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0"/>
        <w:jc w:val="center"/>
        <w:spacing w:line="500" w:lineRule="exact"/>
        <w:rPr>
          <w:rFonts w:hint="eastAsia" w:ascii="宋体" w:hAnsi="宋体" w:eastAsia="宋体" w:cs="宋体"/>
          <w:b/>
          <w:color w:val="000000" w:themeColor="text1"/>
          <w:sz w:val="32"/>
          <w:szCs w:val="36"/>
          <w:highlight w:val="none"/>
          <w14:textFill>
            <w14:solidFill>
              <w14:schemeClr w14:val="tx1"/>
            </w14:solidFill>
          </w14:textFill>
        </w:rPr>
      </w:pPr>
      <w:r>
        <w:rPr>
          <w:rFonts w:hint="eastAsia" w:ascii="宋体" w:hAnsi="宋体" w:eastAsia="宋体" w:cs="宋体"/>
          <w:b/>
          <w:color w:val="000000" w:themeColor="text1"/>
          <w:sz w:val="32"/>
          <w:szCs w:val="36"/>
          <w:highlight w:val="none"/>
          <w14:textFill>
            <w14:solidFill>
              <w14:schemeClr w14:val="tx1"/>
            </w14:solidFill>
          </w14:textFill>
        </w:rPr>
      </w:r>
      <w:r/>
    </w:p>
    <w:p>
      <w:pPr>
        <w:pStyle w:val="1136"/>
        <w:rPr>
          <w:rFonts w:hint="eastAsia" w:ascii="宋体" w:hAnsi="宋体" w:eastAsia="宋体" w:cs="宋体"/>
          <w:b/>
          <w:color w:val="000000" w:themeColor="text1"/>
          <w:sz w:val="32"/>
          <w:szCs w:val="36"/>
          <w:highlight w:val="none"/>
          <w14:textFill>
            <w14:solidFill>
              <w14:schemeClr w14:val="tx1"/>
            </w14:solidFill>
          </w14:textFill>
        </w:rPr>
      </w:pPr>
      <w:r>
        <w:rPr>
          <w:rFonts w:hint="eastAsia" w:ascii="宋体" w:hAnsi="宋体" w:eastAsia="宋体" w:cs="宋体"/>
          <w:b/>
          <w:color w:val="000000" w:themeColor="text1"/>
          <w:sz w:val="32"/>
          <w:szCs w:val="36"/>
          <w:highlight w:val="none"/>
          <w14:textFill>
            <w14:solidFill>
              <w14:schemeClr w14:val="tx1"/>
            </w14:solidFill>
          </w14:textFill>
        </w:rPr>
      </w:r>
      <w:r/>
    </w:p>
    <w:p>
      <w:pPr>
        <w:rPr>
          <w:rFonts w:hint="eastAsia" w:ascii="宋体" w:hAnsi="宋体" w:eastAsia="宋体" w:cs="宋体"/>
          <w:b/>
          <w:color w:val="000000" w:themeColor="text1"/>
          <w:sz w:val="32"/>
          <w:szCs w:val="36"/>
          <w:highlight w:val="none"/>
          <w14:textFill>
            <w14:solidFill>
              <w14:schemeClr w14:val="tx1"/>
            </w14:solidFill>
          </w14:textFill>
        </w:rPr>
      </w:pPr>
      <w:r>
        <w:rPr>
          <w:rFonts w:hint="eastAsia" w:ascii="宋体" w:hAnsi="宋体" w:eastAsia="宋体" w:cs="宋体"/>
          <w:b/>
          <w:color w:val="000000" w:themeColor="text1"/>
          <w:sz w:val="32"/>
          <w:szCs w:val="36"/>
          <w:highlight w:val="none"/>
          <w14:textFill>
            <w14:solidFill>
              <w14:schemeClr w14:val="tx1"/>
            </w14:solidFill>
          </w14:textFill>
        </w:rPr>
      </w:r>
      <w:r/>
    </w:p>
    <w:p>
      <w:pPr>
        <w:pStyle w:val="1136"/>
        <w:rPr>
          <w:rFonts w:hint="eastAsia" w:ascii="宋体" w:hAnsi="宋体" w:eastAsia="宋体" w:cs="宋体"/>
          <w:b/>
          <w:color w:val="000000" w:themeColor="text1"/>
          <w:sz w:val="32"/>
          <w:szCs w:val="36"/>
          <w:highlight w:val="none"/>
          <w14:textFill>
            <w14:solidFill>
              <w14:schemeClr w14:val="tx1"/>
            </w14:solidFill>
          </w14:textFill>
        </w:rPr>
      </w:pPr>
      <w:r>
        <w:rPr>
          <w:rFonts w:hint="eastAsia" w:ascii="宋体" w:hAnsi="宋体" w:eastAsia="宋体" w:cs="宋体"/>
          <w:b/>
          <w:color w:val="000000" w:themeColor="text1"/>
          <w:sz w:val="32"/>
          <w:szCs w:val="36"/>
          <w:highlight w:val="none"/>
          <w14:textFill>
            <w14:solidFill>
              <w14:schemeClr w14:val="tx1"/>
            </w14:solidFill>
          </w14:textFill>
        </w:rPr>
      </w:r>
      <w:r/>
    </w:p>
    <w:p>
      <w:pPr>
        <w:rPr>
          <w:rFonts w:hint="eastAsia" w:ascii="宋体" w:hAnsi="宋体" w:eastAsia="宋体" w:cs="宋体"/>
          <w:b/>
          <w:color w:val="000000" w:themeColor="text1"/>
          <w:sz w:val="32"/>
          <w:szCs w:val="36"/>
          <w:highlight w:val="none"/>
          <w14:textFill>
            <w14:solidFill>
              <w14:schemeClr w14:val="tx1"/>
            </w14:solidFill>
          </w14:textFill>
        </w:rPr>
      </w:pPr>
      <w:r>
        <w:rPr>
          <w:rFonts w:hint="eastAsia" w:ascii="宋体" w:hAnsi="宋体" w:eastAsia="宋体" w:cs="宋体"/>
          <w:b/>
          <w:color w:val="000000" w:themeColor="text1"/>
          <w:sz w:val="32"/>
          <w:szCs w:val="36"/>
          <w:highlight w:val="none"/>
          <w14:textFill>
            <w14:solidFill>
              <w14:schemeClr w14:val="tx1"/>
            </w14:solidFill>
          </w14:textFill>
        </w:rPr>
      </w:r>
      <w:r/>
    </w:p>
    <w:p>
      <w:pPr>
        <w:pStyle w:val="1136"/>
        <w:rPr>
          <w:rFonts w:hint="eastAsia" w:ascii="宋体" w:hAnsi="宋体" w:eastAsia="宋体" w:cs="宋体"/>
          <w:b/>
          <w:color w:val="000000" w:themeColor="text1"/>
          <w:sz w:val="32"/>
          <w:szCs w:val="36"/>
          <w:highlight w:val="none"/>
          <w14:textFill>
            <w14:solidFill>
              <w14:schemeClr w14:val="tx1"/>
            </w14:solidFill>
          </w14:textFill>
        </w:rPr>
      </w:pPr>
      <w:r>
        <w:rPr>
          <w:rFonts w:hint="eastAsia" w:ascii="宋体" w:hAnsi="宋体" w:eastAsia="宋体" w:cs="宋体"/>
          <w:b/>
          <w:color w:val="000000" w:themeColor="text1"/>
          <w:sz w:val="32"/>
          <w:szCs w:val="36"/>
          <w:highlight w:val="none"/>
          <w14:textFill>
            <w14:solidFill>
              <w14:schemeClr w14:val="tx1"/>
            </w14:solidFill>
          </w14:textFill>
        </w:rPr>
      </w:r>
      <w:r/>
    </w:p>
    <w:p>
      <w:pPr>
        <w:rPr>
          <w:rFonts w:hint="eastAsia" w:ascii="宋体" w:hAnsi="宋体" w:eastAsia="宋体" w:cs="宋体"/>
          <w:b/>
          <w:color w:val="000000" w:themeColor="text1"/>
          <w:sz w:val="32"/>
          <w:szCs w:val="36"/>
          <w:highlight w:val="none"/>
          <w14:textFill>
            <w14:solidFill>
              <w14:schemeClr w14:val="tx1"/>
            </w14:solidFill>
          </w14:textFill>
        </w:rPr>
      </w:pPr>
      <w:r>
        <w:rPr>
          <w:rFonts w:hint="eastAsia" w:ascii="宋体" w:hAnsi="宋体" w:eastAsia="宋体" w:cs="宋体"/>
          <w:b/>
          <w:color w:val="000000" w:themeColor="text1"/>
          <w:sz w:val="32"/>
          <w:szCs w:val="36"/>
          <w:highlight w:val="none"/>
          <w14:textFill>
            <w14:solidFill>
              <w14:schemeClr w14:val="tx1"/>
            </w14:solidFill>
          </w14:textFill>
        </w:rPr>
      </w:r>
      <w:bookmarkEnd w:id="72"/>
      <w:r/>
      <w:bookmarkEnd w:id="73"/>
      <w:r/>
      <w:r/>
    </w:p>
    <w:p>
      <w:pPr>
        <w:pStyle w:val="1517"/>
        <w:ind w:firstLine="0"/>
        <w:jc w:val="both"/>
        <w:spacing w:line="500" w:lineRule="exact"/>
        <w:rPr>
          <w:rFonts w:hint="eastAsia" w:ascii="宋体" w:hAnsi="宋体" w:cs="宋体"/>
          <w:b/>
          <w:bCs/>
          <w:color w:val="000000" w:themeColor="text1"/>
          <w:sz w:val="30"/>
          <w:szCs w:val="30"/>
          <w:highlight w:val="none"/>
          <w:lang w:val="en-US" w:eastAsia="zh-CN"/>
          <w14:textFill>
            <w14:solidFill>
              <w14:schemeClr w14:val="tx1"/>
            </w14:solidFill>
          </w14:textFill>
        </w:rPr>
      </w:pPr>
      <w:r>
        <w:rPr>
          <w:rFonts w:hint="eastAsia" w:ascii="宋体" w:hAnsi="宋体" w:cs="宋体"/>
          <w:b/>
          <w:bCs/>
          <w:color w:val="000000" w:themeColor="text1"/>
          <w:sz w:val="30"/>
          <w:szCs w:val="30"/>
          <w:highlight w:val="none"/>
          <w:lang w:val="en-US" w:eastAsia="zh-CN"/>
          <w14:textFill>
            <w14:solidFill>
              <w14:schemeClr w14:val="tx1"/>
            </w14:solidFill>
          </w14:textFill>
        </w:rPr>
      </w:r>
      <w:r/>
    </w:p>
    <w:p>
      <w:pPr>
        <w:pStyle w:val="1517"/>
        <w:ind w:firstLine="0"/>
        <w:jc w:val="center"/>
        <w:spacing w:line="500" w:lineRule="exact"/>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3</w:t>
      </w:r>
      <w:r>
        <w:rPr>
          <w:rFonts w:hint="eastAsia" w:ascii="宋体" w:hAnsi="宋体" w:cs="宋体"/>
          <w:b/>
          <w:bCs/>
          <w:color w:val="000000" w:themeColor="text1"/>
          <w:sz w:val="30"/>
          <w:szCs w:val="30"/>
          <w:highlight w:val="none"/>
          <w14:textFill>
            <w14:solidFill>
              <w14:schemeClr w14:val="tx1"/>
            </w14:solidFill>
          </w14:textFill>
        </w:rPr>
        <w:t xml:space="preserve">.偏离表</w:t>
      </w:r>
      <w:r/>
    </w:p>
    <w:p>
      <w:pPr>
        <w:ind w:left="0" w:firstLine="0"/>
        <w:rPr>
          <w:rFonts w:hint="eastAsia" w:ascii="宋体" w:hAnsi="宋体" w:eastAsia="宋体" w:cs="宋体"/>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丰县云计算资源平台服务</w:t>
      </w:r>
      <w:r/>
    </w:p>
    <w:p>
      <w:pPr>
        <w:pStyle w:val="1106"/>
        <w:rPr>
          <w:rFonts w:hint="eastAsia"/>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JSZC-320321-FXZX-G2026-0006</w:t>
      </w:r>
      <w:r/>
    </w:p>
    <w:tbl>
      <w:tblPr>
        <w:tblStyle w:val="1105"/>
        <w:tblW w:w="875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543"/>
        <w:gridCol w:w="1680"/>
        <w:gridCol w:w="1536"/>
        <w:gridCol w:w="1764"/>
      </w:tblGrid>
      <w:tr>
        <w:trPr>
          <w:trHeight w:val="414"/>
        </w:trPr>
        <w:tc>
          <w:tcPr>
            <w:tcW w:w="828" w:type="dxa"/>
            <w:vAlign w:val="center"/>
            <w:textDirection w:val="lrTb"/>
            <w:noWrap w:val="false"/>
          </w:tcPr>
          <w:p>
            <w:pPr>
              <w:ind w:firstLine="0"/>
              <w:jc w:val="center"/>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序号</w:t>
            </w:r>
            <w:r/>
          </w:p>
        </w:tc>
        <w:tc>
          <w:tcPr>
            <w:tcW w:w="1404" w:type="dxa"/>
            <w:vAlign w:val="center"/>
            <w:textDirection w:val="lrTb"/>
            <w:noWrap w:val="false"/>
          </w:tcPr>
          <w:p>
            <w:pPr>
              <w:ind w:firstLine="0"/>
              <w:jc w:val="center"/>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aps/>
                <w:color w:val="000000" w:themeColor="text1"/>
                <w:highlight w:val="none"/>
                <w14:textFill>
                  <w14:solidFill>
                    <w14:schemeClr w14:val="tx1"/>
                  </w14:solidFill>
                </w14:textFill>
              </w:rPr>
              <w:t xml:space="preserve">偏离内容</w:t>
            </w:r>
            <w:r/>
          </w:p>
        </w:tc>
        <w:tc>
          <w:tcPr>
            <w:tcW w:w="1543" w:type="dxa"/>
            <w:vAlign w:val="center"/>
            <w:textDirection w:val="lrTb"/>
            <w:noWrap w:val="false"/>
          </w:tcPr>
          <w:p>
            <w:pPr>
              <w:ind w:firstLine="0"/>
              <w:jc w:val="center"/>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招标文件的要求</w:t>
            </w:r>
            <w:r/>
          </w:p>
        </w:tc>
        <w:tc>
          <w:tcPr>
            <w:tcW w:w="1680" w:type="dxa"/>
            <w:vAlign w:val="center"/>
            <w:textDirection w:val="lrTb"/>
            <w:noWrap w:val="false"/>
          </w:tcPr>
          <w:p>
            <w:pPr>
              <w:ind w:firstLine="0"/>
              <w:jc w:val="center"/>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投标文件中的内容</w:t>
            </w:r>
            <w:r/>
          </w:p>
        </w:tc>
        <w:tc>
          <w:tcPr>
            <w:tcW w:w="1536" w:type="dxa"/>
            <w:vAlign w:val="center"/>
            <w:textDirection w:val="lrTb"/>
            <w:noWrap w:val="false"/>
          </w:tcPr>
          <w:p>
            <w:pPr>
              <w:ind w:firstLine="0"/>
              <w:jc w:val="center"/>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（正/负/无）偏离</w:t>
            </w:r>
            <w:r/>
          </w:p>
        </w:tc>
        <w:tc>
          <w:tcPr>
            <w:tcW w:w="1764" w:type="dxa"/>
            <w:vAlign w:val="center"/>
            <w:textDirection w:val="lrTb"/>
            <w:noWrap w:val="false"/>
          </w:tcPr>
          <w:p>
            <w:pPr>
              <w:ind w:firstLine="0"/>
              <w:jc w:val="center"/>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证明文件位置及说明</w:t>
            </w:r>
            <w:r/>
          </w:p>
        </w:tc>
      </w:tr>
      <w:tr>
        <w:trPr>
          <w:trHeight w:val="794"/>
        </w:trPr>
        <w:tc>
          <w:tcPr>
            <w:tcW w:w="828"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404"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543"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680"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536"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764"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trHeight w:val="794"/>
        </w:trPr>
        <w:tc>
          <w:tcPr>
            <w:tcW w:w="828"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404"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543"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680"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536"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764"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trHeight w:val="794"/>
        </w:trPr>
        <w:tc>
          <w:tcPr>
            <w:tcW w:w="828"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404"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543"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680"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536"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764"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trHeight w:val="794"/>
        </w:trPr>
        <w:tc>
          <w:tcPr>
            <w:tcW w:w="828"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404"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543"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680"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536"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764"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trHeight w:val="794"/>
        </w:trPr>
        <w:tc>
          <w:tcPr>
            <w:tcW w:w="828"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404"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543"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680"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536"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764"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trHeight w:val="794"/>
        </w:trPr>
        <w:tc>
          <w:tcPr>
            <w:tcW w:w="828"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404"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543"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680"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536"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764"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trHeight w:val="569"/>
        </w:trPr>
        <w:tc>
          <w:tcPr>
            <w:tcW w:w="828"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404"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543"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680"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536"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764"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bl>
    <w:p>
      <w:pPr>
        <w:ind w:firstLine="0"/>
        <w:spacing w:line="360" w:lineRule="auto"/>
        <w:rPr>
          <w:rFonts w:hint="eastAsia" w:ascii="宋体" w:hAnsi="宋体" w:eastAsia="宋体" w:cs="宋体"/>
          <w:b w:val="0"/>
          <w:bCs w:val="0"/>
          <w:color w:val="000000" w:themeColor="text1"/>
          <w:sz w:val="24"/>
          <w:highlight w:val="none"/>
          <w:u w:val="none"/>
          <w14:textFill>
            <w14:solidFill>
              <w14:schemeClr w14:val="tx1"/>
            </w14:solidFill>
          </w14:textFill>
        </w:rPr>
      </w:pPr>
      <w:r>
        <w:rPr>
          <w:rFonts w:hint="eastAsia" w:ascii="宋体" w:hAnsi="宋体" w:eastAsia="宋体" w:cs="宋体"/>
          <w:b w:val="0"/>
          <w:bCs w:val="0"/>
          <w:color w:val="000000" w:themeColor="text1"/>
          <w:sz w:val="24"/>
          <w:highlight w:val="none"/>
          <w:u w:val="none"/>
          <w14:textFill>
            <w14:solidFill>
              <w14:schemeClr w14:val="tx1"/>
            </w14:solidFill>
          </w14:textFill>
        </w:rPr>
      </w:r>
      <w:r/>
    </w:p>
    <w:p>
      <w:pPr>
        <w:ind w:firstLine="439"/>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注：投标人的投标文件中</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除采购需求符合性条件外</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的内容与招标文件（含招标文件的澄清或者修改的内容，下同）的要求不同时，逐条列在偏离表中，否则将认为投标人接受招标文件的要求。</w:t>
      </w:r>
      <w:r/>
    </w:p>
    <w:p>
      <w:pPr>
        <w:jc w:val="right"/>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jc w:val="right"/>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jc w:val="right"/>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投标人名称（电子签章）： ____________</w:t>
      </w:r>
      <w:r/>
    </w:p>
    <w:p>
      <w:pPr>
        <w:ind w:firstLine="480"/>
        <w:jc w:val="right"/>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                        </w:t>
      </w:r>
      <w:r/>
    </w:p>
    <w:p>
      <w:pPr>
        <w:ind w:firstLine="48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日  期：   年  月  日</w:t>
      </w:r>
      <w:r/>
    </w:p>
    <w:p>
      <w:pPr>
        <w:pStyle w:val="110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311"/>
        <w:ind w:firstLine="0"/>
        <w:jc w:val="center"/>
        <w:spacing w:line="500" w:lineRule="exact"/>
        <w:rPr>
          <w:rFonts w:hint="eastAsia" w:ascii="宋体" w:hAnsi="宋体" w:cs="宋体"/>
          <w:b/>
          <w:bCs/>
          <w:color w:val="000000" w:themeColor="text1"/>
          <w:sz w:val="30"/>
          <w:szCs w:val="30"/>
          <w:highlight w:val="none"/>
          <w:lang w:val="en-US" w:eastAsia="zh-CN"/>
          <w14:textFill>
            <w14:solidFill>
              <w14:schemeClr w14:val="tx1"/>
            </w14:solidFill>
          </w14:textFill>
        </w:rPr>
      </w:pPr>
      <w:r>
        <w:rPr>
          <w:rFonts w:hint="eastAsia" w:ascii="宋体" w:hAnsi="宋体" w:cs="宋体"/>
          <w:b/>
          <w:bCs/>
          <w:color w:val="000000" w:themeColor="text1"/>
          <w:sz w:val="30"/>
          <w:szCs w:val="30"/>
          <w:highlight w:val="none"/>
          <w:lang w:val="en-US" w:eastAsia="zh-CN"/>
          <w14:textFill>
            <w14:solidFill>
              <w14:schemeClr w14:val="tx1"/>
            </w14:solidFill>
          </w14:textFill>
        </w:rPr>
      </w:r>
      <w:r/>
    </w:p>
    <w:p>
      <w:pPr>
        <w:pStyle w:val="1311"/>
        <w:ind w:firstLine="0"/>
        <w:jc w:val="center"/>
        <w:spacing w:line="500" w:lineRule="exact"/>
        <w:rPr>
          <w:rFonts w:hint="eastAsia" w:ascii="宋体" w:hAnsi="宋体" w:cs="宋体"/>
          <w:b/>
          <w:bCs/>
          <w:color w:val="000000" w:themeColor="text1"/>
          <w:sz w:val="30"/>
          <w:szCs w:val="30"/>
          <w:highlight w:val="none"/>
          <w:lang w:val="en-US" w:eastAsia="zh-CN"/>
          <w14:textFill>
            <w14:solidFill>
              <w14:schemeClr w14:val="tx1"/>
            </w14:solidFill>
          </w14:textFill>
        </w:rPr>
      </w:pPr>
      <w:r>
        <w:rPr>
          <w:rFonts w:hint="eastAsia" w:ascii="宋体" w:hAnsi="宋体" w:cs="宋体"/>
          <w:b/>
          <w:bCs/>
          <w:color w:val="000000" w:themeColor="text1"/>
          <w:sz w:val="30"/>
          <w:szCs w:val="30"/>
          <w:highlight w:val="none"/>
          <w:lang w:val="en-US" w:eastAsia="zh-CN"/>
          <w14:textFill>
            <w14:solidFill>
              <w14:schemeClr w14:val="tx1"/>
            </w14:solidFill>
          </w14:textFill>
        </w:rPr>
      </w:r>
      <w:r/>
    </w:p>
    <w:p>
      <w:pPr>
        <w:pStyle w:val="1311"/>
        <w:ind w:firstLine="0"/>
        <w:jc w:val="center"/>
        <w:spacing w:line="500" w:lineRule="exact"/>
        <w:rPr>
          <w:rFonts w:hint="eastAsia" w:ascii="宋体" w:hAnsi="宋体" w:cs="宋体"/>
          <w:b/>
          <w:bCs/>
          <w:color w:val="000000" w:themeColor="text1"/>
          <w:sz w:val="30"/>
          <w:szCs w:val="30"/>
          <w:highlight w:val="none"/>
          <w:lang w:val="en-US" w:eastAsia="zh-CN"/>
          <w14:textFill>
            <w14:solidFill>
              <w14:schemeClr w14:val="tx1"/>
            </w14:solidFill>
          </w14:textFill>
        </w:rPr>
      </w:pPr>
      <w:r>
        <w:rPr>
          <w:rFonts w:hint="eastAsia" w:ascii="宋体" w:hAnsi="宋体" w:cs="宋体"/>
          <w:b/>
          <w:bCs/>
          <w:color w:val="000000" w:themeColor="text1"/>
          <w:sz w:val="30"/>
          <w:szCs w:val="30"/>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ind w:firstLine="480"/>
        <w:spacing w:line="360" w:lineRule="auto"/>
        <w:rPr>
          <w:rFonts w:hint="eastAsia" w:ascii="宋体" w:cs="宋体"/>
          <w:color w:val="000000" w:themeColor="text1"/>
          <w:highlight w:val="none"/>
          <w14:textFill>
            <w14:solidFill>
              <w14:schemeClr w14:val="tx1"/>
            </w14:solidFill>
          </w14:textFill>
        </w:rPr>
      </w:pPr>
      <w:r>
        <w:rPr>
          <w:rFonts w:hint="eastAsia" w:ascii="宋体" w:cs="宋体"/>
          <w:color w:val="000000" w:themeColor="text1"/>
          <w:highlight w:val="none"/>
          <w14:textFill>
            <w14:solidFill>
              <w14:schemeClr w14:val="tx1"/>
            </w14:solidFill>
          </w14:textFill>
        </w:rPr>
        <w:t xml:space="preserve">                   </w:t>
      </w:r>
      <w:r/>
    </w:p>
    <w:p>
      <w:pPr>
        <w:ind w:firstLine="480"/>
        <w:jc w:val="center"/>
        <w:spacing w:line="360" w:lineRule="auto"/>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30"/>
          <w:szCs w:val="30"/>
          <w:highlight w:val="none"/>
          <w14:textFill>
            <w14:solidFill>
              <w14:schemeClr w14:val="tx1"/>
            </w14:solidFill>
          </w14:textFill>
        </w:rPr>
        <w:t xml:space="preserve">. 法定代表人授权书</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委托人：</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  址：</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法定代表人（负责人）：               职务：</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法人营业执照注册号：</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受托人：                   性别：男（女）  </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年龄：</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岁                 民族：</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族</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职务：</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身份证号：</w:t>
      </w:r>
      <w:r/>
    </w:p>
    <w:p>
      <w:pPr>
        <w:ind w:firstLine="43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兹委托</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全权代表我企业（公司）参与</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丰县云计算资源平台服务</w:t>
      </w:r>
      <w:r>
        <w:rPr>
          <w:rFonts w:hint="eastAsia" w:ascii="宋体" w:hAnsi="宋体" w:eastAsia="宋体" w:cs="宋体"/>
          <w:color w:val="000000" w:themeColor="text1"/>
          <w:highlight w:val="none"/>
          <w14:textFill>
            <w14:solidFill>
              <w14:schemeClr w14:val="tx1"/>
            </w14:solidFill>
          </w14:textFill>
        </w:rPr>
        <w:t xml:space="preserve">（项目编号：</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JSZC-320321-FXZX-G2026-0006</w:t>
      </w:r>
      <w:r>
        <w:rPr>
          <w:rFonts w:hint="eastAsia" w:ascii="宋体" w:hAnsi="宋体" w:eastAsia="宋体" w:cs="宋体"/>
          <w:color w:val="000000" w:themeColor="text1"/>
          <w:highlight w:val="none"/>
          <w14:textFill>
            <w14:solidFill>
              <w14:schemeClr w14:val="tx1"/>
            </w14:solidFill>
          </w14:textFill>
        </w:rPr>
        <w:t xml:space="preserve">）的</w:t>
      </w:r>
      <w:r>
        <w:rPr>
          <w:rFonts w:hint="eastAsia" w:ascii="宋体" w:hAnsi="宋体" w:eastAsia="宋体" w:cs="宋体"/>
          <w:color w:val="000000" w:themeColor="text1"/>
          <w:highlight w:val="none"/>
          <w:lang w:val="en-US" w:eastAsia="zh-CN"/>
          <w14:textFill>
            <w14:solidFill>
              <w14:schemeClr w14:val="tx1"/>
            </w14:solidFill>
          </w14:textFill>
        </w:rPr>
        <w:t xml:space="preserve">招、</w:t>
      </w:r>
      <w:r>
        <w:rPr>
          <w:rFonts w:hint="eastAsia" w:ascii="宋体" w:hAnsi="宋体" w:eastAsia="宋体" w:cs="宋体"/>
          <w:color w:val="000000" w:themeColor="text1"/>
          <w:highlight w:val="none"/>
          <w14:textFill>
            <w14:solidFill>
              <w14:schemeClr w14:val="tx1"/>
            </w14:solidFill>
          </w14:textFill>
        </w:rPr>
        <w:t xml:space="preserve">投标活动及签订经济合同。（         ）以我企业（公司）名义所为的法律行为及签署的文件，我企业（公司）均予以认可。有关法律责任均由我企业（公司）承担。（         ）无转委托权。委托期限自</w:t>
      </w:r>
      <w:r>
        <w:rPr>
          <w:rFonts w:hint="eastAsia" w:ascii="宋体" w:hAnsi="宋体" w:eastAsia="宋体" w:cs="宋体"/>
          <w:color w:val="000000" w:themeColor="text1"/>
          <w:highlight w:val="none"/>
          <w:u w:val="single"/>
          <w14:textFill>
            <w14:solidFill>
              <w14:schemeClr w14:val="tx1"/>
            </w14:solidFill>
          </w14:textFill>
        </w:rPr>
        <w:t xml:space="preserve">    年  月   日起至    年  月    日</w:t>
      </w:r>
      <w:r>
        <w:rPr>
          <w:rFonts w:hint="eastAsia" w:ascii="宋体" w:hAnsi="宋体" w:eastAsia="宋体" w:cs="宋体"/>
          <w:color w:val="000000" w:themeColor="text1"/>
          <w:highlight w:val="none"/>
          <w14:textFill>
            <w14:solidFill>
              <w14:schemeClr w14:val="tx1"/>
            </w14:solidFill>
          </w14:textFill>
        </w:rPr>
        <w:t xml:space="preserve">止。</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特此授权委托。</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委托人（电子签章）：                          受托人（签字或盖章）：</w:t>
      </w:r>
      <w:r/>
    </w:p>
    <w:p>
      <w:pPr>
        <w:ind w:firstLine="480"/>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法定代表人</w:t>
      </w:r>
      <w:r>
        <w:rPr>
          <w:rFonts w:hint="eastAsia" w:ascii="宋体" w:hAnsi="宋体" w:eastAsia="宋体" w:cs="宋体"/>
          <w:color w:val="000000" w:themeColor="text1"/>
          <w:highlight w:val="none"/>
          <w14:textFill>
            <w14:solidFill>
              <w14:schemeClr w14:val="tx1"/>
            </w14:solidFill>
          </w14:textFill>
        </w:rPr>
        <w:t xml:space="preserve">（负责人）</w:t>
      </w:r>
      <w:r>
        <w:rPr>
          <w:rFonts w:ascii="宋体" w:hAnsi="宋体" w:eastAsia="宋体" w:cs="宋体"/>
          <w:color w:val="000000" w:themeColor="text1"/>
          <w:highlight w:val="none"/>
          <w14:textFill>
            <w14:solidFill>
              <w14:schemeClr w14:val="tx1"/>
            </w14:solidFill>
          </w14:textFill>
        </w:rPr>
        <w:t xml:space="preserve">（签字</w:t>
      </w:r>
      <w:r>
        <w:rPr>
          <w:rFonts w:hint="eastAsia" w:ascii="宋体" w:hAnsi="宋体" w:eastAsia="宋体" w:cs="宋体"/>
          <w:color w:val="000000" w:themeColor="text1"/>
          <w:highlight w:val="none"/>
          <w14:textFill>
            <w14:solidFill>
              <w14:schemeClr w14:val="tx1"/>
            </w14:solidFill>
          </w14:textFill>
        </w:rPr>
        <w:t xml:space="preserve">或盖章</w:t>
      </w:r>
      <w:r>
        <w:rPr>
          <w:rFonts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 </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日期：      年   月   日 </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(受托人身份证原件扫描件附后)</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144"/>
        <w:ind w:firstLine="42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602"/>
        <w:jc w:val="center"/>
        <w:rPr>
          <w:rFonts w:hint="eastAsia" w:ascii="宋体" w:hAnsi="宋体" w:eastAsia="宋体" w:cs="宋体"/>
          <w:b/>
          <w:color w:val="000000" w:themeColor="text1"/>
          <w:sz w:val="30"/>
          <w:szCs w:val="30"/>
          <w:highlight w:val="none"/>
          <w14:textFill>
            <w14:solidFill>
              <w14:schemeClr w14:val="tx1"/>
            </w14:solidFill>
          </w14:textFill>
        </w:rPr>
      </w:pPr>
      <w:r/>
      <w:bookmarkStart w:id="74" w:name="_Toc27841_WPSOffice_Level2"/>
      <w:r/>
      <w:bookmarkStart w:id="75" w:name="_Toc12965_WPSOffice_Level2"/>
      <w:r/>
      <w:r/>
    </w:p>
    <w:p>
      <w:pPr>
        <w:ind w:firstLine="602"/>
        <w:jc w:val="center"/>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bookmarkEnd w:id="74"/>
      <w:r/>
      <w:bookmarkEnd w:id="75"/>
      <w:r/>
      <w:r/>
    </w:p>
    <w:p>
      <w:pPr>
        <w:ind w:firstLine="602"/>
        <w:jc w:val="center"/>
        <w:spacing w:line="380" w:lineRule="atLeast"/>
        <w:rPr>
          <w:rFonts w:hint="eastAsia" w:ascii="宋体" w:hAnsi="宋体" w:eastAsia="宋体" w:cs="宋体"/>
          <w:b/>
          <w:bCs/>
          <w:color w:val="000000" w:themeColor="text1"/>
          <w:sz w:val="30"/>
          <w:szCs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szCs w:val="30"/>
          <w:highlight w:val="none"/>
          <w14:textFill>
            <w14:solidFill>
              <w14:schemeClr w14:val="tx1"/>
            </w14:solidFill>
          </w14:textFill>
        </w:rPr>
      </w:r>
      <w:r/>
    </w:p>
    <w:p>
      <w:pPr>
        <w:ind w:firstLine="602"/>
        <w:jc w:val="center"/>
        <w:spacing w:line="380" w:lineRule="atLeast"/>
        <w:rPr>
          <w:rFonts w:hint="eastAsia" w:ascii="宋体" w:hAnsi="宋体" w:eastAsia="宋体" w:cs="宋体"/>
          <w:b/>
          <w:bCs/>
          <w:color w:val="000000" w:themeColor="text1"/>
          <w:sz w:val="30"/>
          <w:szCs w:val="30"/>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szCs w:val="30"/>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30"/>
          <w:szCs w:val="30"/>
          <w:highlight w:val="none"/>
          <w14:textFill>
            <w14:solidFill>
              <w14:schemeClr w14:val="tx1"/>
            </w14:solidFill>
          </w14:textFill>
        </w:rPr>
        <w:t xml:space="preserve">.中小企业声明函</w:t>
      </w:r>
      <w:r>
        <w:rPr>
          <w:rFonts w:hint="eastAsia" w:ascii="宋体" w:hAnsi="宋体" w:eastAsia="宋体" w:cs="宋体"/>
          <w:b/>
          <w:bCs/>
          <w:color w:val="000000" w:themeColor="text1"/>
          <w:sz w:val="30"/>
          <w:szCs w:val="30"/>
          <w:highlight w:val="none"/>
          <w:lang w:eastAsia="zh-CN"/>
          <w14:textFill>
            <w14:solidFill>
              <w14:schemeClr w14:val="tx1"/>
            </w14:solidFill>
          </w14:textFill>
        </w:rPr>
        <w:t xml:space="preserve">（</w:t>
      </w:r>
      <w:r>
        <w:rPr>
          <w:rFonts w:hint="eastAsia" w:ascii="宋体" w:hAnsi="宋体" w:eastAsia="宋体" w:cs="宋体"/>
          <w:b/>
          <w:bCs/>
          <w:color w:val="000000" w:themeColor="text1"/>
          <w:sz w:val="30"/>
          <w:szCs w:val="30"/>
          <w:highlight w:val="none"/>
          <w:lang w:val="en-US" w:eastAsia="zh-CN"/>
          <w14:textFill>
            <w14:solidFill>
              <w14:schemeClr w14:val="tx1"/>
            </w14:solidFill>
          </w14:textFill>
        </w:rPr>
        <w:t xml:space="preserve">服务</w:t>
      </w:r>
      <w:r>
        <w:rPr>
          <w:rFonts w:hint="eastAsia" w:ascii="宋体" w:hAnsi="宋体" w:eastAsia="宋体" w:cs="宋体"/>
          <w:b/>
          <w:bCs/>
          <w:color w:val="000000" w:themeColor="text1"/>
          <w:sz w:val="30"/>
          <w:szCs w:val="30"/>
          <w:highlight w:val="none"/>
          <w:lang w:eastAsia="zh-CN"/>
          <w14:textFill>
            <w14:solidFill>
              <w14:schemeClr w14:val="tx1"/>
            </w14:solidFill>
          </w14:textFill>
        </w:rPr>
        <w:t xml:space="preserve">）</w:t>
      </w:r>
      <w:r/>
    </w:p>
    <w:p>
      <w:pPr>
        <w:ind w:firstLine="480"/>
        <w:spacing w:line="5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39"/>
        <w:rPr>
          <w:rFonts w:hint="eastAsia" w:ascii="宋体" w:hAnsi="宋体" w:eastAsia="宋体" w:cs="宋体"/>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丰县云计算资源平台服务</w:t>
      </w:r>
      <w:r/>
    </w:p>
    <w:p>
      <w:pPr>
        <w:ind w:firstLine="439"/>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JSZC-320321-FXZX-G2026-0006</w:t>
      </w:r>
      <w:r/>
    </w:p>
    <w:p>
      <w:pPr>
        <w:pStyle w:val="1140"/>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本公司郑重声明，根据《政府采购促进中小企业发展管理办法》（财库﹝2020﹞46 号）的规</w:t>
      </w:r>
      <w:r>
        <w:rPr>
          <w:rFonts w:ascii="宋体" w:hAnsi="宋体" w:cs="宋体"/>
          <w:color w:val="000000" w:themeColor="text1"/>
          <w:sz w:val="24"/>
          <w:highlight w:val="none"/>
          <w14:textFill>
            <w14:solidFill>
              <w14:schemeClr w14:val="tx1"/>
            </w14:solidFill>
          </w14:textFill>
        </w:rPr>
        <w:t xml:space="preserve">定，本公司参加</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u w:val="single"/>
          <w:lang w:val="en-US" w:eastAsia="zh-CN"/>
          <w14:textFill>
            <w14:solidFill>
              <w14:schemeClr w14:val="tx1"/>
            </w14:solidFill>
          </w14:textFill>
        </w:rPr>
        <w:t xml:space="preserve">丰县大数据管理中心</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丰县云计算资源平台服务</w:t>
      </w:r>
      <w:r>
        <w:rPr>
          <w:rFonts w:ascii="宋体" w:hAnsi="宋体" w:cs="宋体"/>
          <w:color w:val="000000" w:themeColor="text1"/>
          <w:sz w:val="24"/>
          <w:highlight w:val="none"/>
          <w14:textFill>
            <w14:solidFill>
              <w14:schemeClr w14:val="tx1"/>
            </w14:solidFill>
          </w14:textFill>
        </w:rPr>
        <w:t xml:space="preserve">）采购活动，提供的</w:t>
      </w:r>
      <w:r>
        <w:rPr>
          <w:rFonts w:hint="eastAsia" w:ascii="宋体" w:hAnsi="宋体" w:cs="宋体"/>
          <w:color w:val="000000" w:themeColor="text1"/>
          <w:sz w:val="24"/>
          <w:highlight w:val="none"/>
          <w:lang w:val="en-US" w:eastAsia="zh-CN"/>
          <w14:textFill>
            <w14:solidFill>
              <w14:schemeClr w14:val="tx1"/>
            </w14:solidFill>
          </w14:textFill>
        </w:rPr>
        <w:t xml:space="preserve">服务</w:t>
      </w:r>
      <w:r>
        <w:rPr>
          <w:rFonts w:hint="eastAsia" w:ascii="宋体" w:hAnsi="宋体" w:cs="宋体"/>
          <w:color w:val="000000" w:themeColor="text1"/>
          <w:sz w:val="24"/>
          <w:highlight w:val="none"/>
          <w14:textFill>
            <w14:solidFill>
              <w14:schemeClr w14:val="tx1"/>
            </w14:solidFill>
          </w14:textFill>
        </w:rPr>
        <w:t xml:space="preserve">全部由符合政</w:t>
      </w:r>
      <w:r>
        <w:rPr>
          <w:rFonts w:ascii="宋体" w:hAnsi="宋体" w:cs="宋体"/>
          <w:color w:val="000000" w:themeColor="text1"/>
          <w:sz w:val="24"/>
          <w:highlight w:val="none"/>
          <w14:textFill>
            <w14:solidFill>
              <w14:schemeClr w14:val="tx1"/>
            </w14:solidFill>
          </w14:textFill>
        </w:rPr>
        <w:t xml:space="preserve">策要求的中小企业</w:t>
      </w:r>
      <w:r>
        <w:rPr>
          <w:rFonts w:hint="eastAsia" w:ascii="宋体" w:hAnsi="宋体" w:cs="宋体"/>
          <w:color w:val="000000" w:themeColor="text1"/>
          <w:sz w:val="24"/>
          <w:highlight w:val="none"/>
          <w:lang w:val="en-US" w:eastAsia="zh-CN"/>
          <w14:textFill>
            <w14:solidFill>
              <w14:schemeClr w14:val="tx1"/>
            </w14:solidFill>
          </w14:textFill>
        </w:rPr>
        <w:t xml:space="preserve">承接</w:t>
      </w:r>
      <w:r>
        <w:rPr>
          <w:rFonts w:ascii="宋体" w:hAnsi="宋体" w:cs="宋体"/>
          <w:color w:val="000000" w:themeColor="text1"/>
          <w:sz w:val="24"/>
          <w:highlight w:val="none"/>
          <w14:textFill>
            <w14:solidFill>
              <w14:schemeClr w14:val="tx1"/>
            </w14:solidFill>
          </w14:textFill>
        </w:rPr>
        <w:t xml:space="preserve">。相关企业的具体情况如</w:t>
      </w:r>
      <w:r>
        <w:rPr>
          <w:rFonts w:hint="eastAsia" w:ascii="宋体" w:hAnsi="宋体" w:cs="宋体"/>
          <w:color w:val="000000" w:themeColor="text1"/>
          <w:sz w:val="24"/>
          <w:highlight w:val="none"/>
          <w14:textFill>
            <w14:solidFill>
              <w14:schemeClr w14:val="tx1"/>
            </w14:solidFill>
          </w14:textFill>
        </w:rPr>
        <w:t xml:space="preserve">下：</w:t>
      </w:r>
      <w:r/>
    </w:p>
    <w:p>
      <w:pPr>
        <w:numPr>
          <w:ilvl w:val="0"/>
          <w:numId w:val="10"/>
        </w:numPr>
        <w:ind w:left="600" w:firstLine="0"/>
        <w:spacing w:line="460" w:lineRule="exact"/>
        <w:rPr>
          <w:rFonts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u w:val="single"/>
          <w:lang w:val="en-US" w:eastAsia="zh-CN" w:bidi="ar"/>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（标的名称）</w:t>
      </w:r>
      <w:r>
        <w:rPr>
          <w:rFonts w:hint="eastAsia" w:ascii="宋体" w:hAnsi="宋体" w:eastAsia="宋体" w:cs="宋体"/>
          <w:color w:val="000000" w:themeColor="text1"/>
          <w:highlight w:val="none"/>
          <w14:textFill>
            <w14:solidFill>
              <w14:schemeClr w14:val="tx1"/>
            </w14:solidFill>
          </w14:textFill>
        </w:rPr>
        <w:t xml:space="preserve">，属于</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行业；</w:t>
      </w:r>
      <w:r>
        <w:rPr>
          <w:rFonts w:hint="eastAsia" w:ascii="宋体" w:hAnsi="宋体" w:eastAsia="宋体" w:cs="宋体"/>
          <w:color w:val="000000" w:themeColor="text1"/>
          <w:highlight w:val="none"/>
          <w:lang w:val="en-US" w:eastAsia="zh-CN"/>
          <w14:textFill>
            <w14:solidFill>
              <w14:schemeClr w14:val="tx1"/>
            </w14:solidFill>
          </w14:textFill>
        </w:rPr>
        <w:t xml:space="preserve">服务商</w:t>
      </w:r>
      <w:r>
        <w:rPr>
          <w:rFonts w:hint="eastAsia" w:ascii="宋体" w:hAnsi="宋体" w:eastAsia="宋体" w:cs="宋体"/>
          <w:color w:val="000000" w:themeColor="text1"/>
          <w:highlight w:val="none"/>
          <w14:textFill>
            <w14:solidFill>
              <w14:schemeClr w14:val="tx1"/>
            </w14:solidFill>
          </w14:textFill>
        </w:rPr>
        <w:t xml:space="preserve">为（</w:t>
      </w:r>
      <w:r>
        <w:rPr>
          <w:rFonts w:ascii="宋体" w:hAnsi="宋体" w:eastAsia="宋体" w:cs="宋体"/>
          <w:color w:val="000000" w:themeColor="text1"/>
          <w:highlight w:val="none"/>
          <w:u w:val="single"/>
          <w14:textFill>
            <w14:solidFill>
              <w14:schemeClr w14:val="tx1"/>
            </w14:solidFill>
          </w14:textFill>
        </w:rPr>
        <w:t xml:space="preserve">企业名称</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w:t>
      </w:r>
      <w:r/>
    </w:p>
    <w:p>
      <w:pPr>
        <w:numPr>
          <w:ilvl w:val="0"/>
          <w:numId w:val="0"/>
        </w:numPr>
        <w:spacing w:line="460" w:lineRule="exact"/>
        <w:rPr>
          <w:rFonts w:ascii="宋体" w:hAnsi="宋体" w:eastAsia="宋体" w:cs="宋体"/>
          <w:color w:val="000000" w:themeColor="text1"/>
          <w:highlight w:val="none"/>
          <w:u w:val="singl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从业人员</w:t>
      </w:r>
      <w:r>
        <w:rPr>
          <w:rFonts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 xml:space="preserve"> </w:t>
      </w:r>
      <w:r>
        <w:rPr>
          <w:rFonts w:ascii="宋体" w:hAnsi="宋体" w:eastAsia="宋体" w:cs="宋体"/>
          <w:color w:val="000000" w:themeColor="text1"/>
          <w:highlight w:val="none"/>
          <w14:textFill>
            <w14:solidFill>
              <w14:schemeClr w14:val="tx1"/>
            </w14:solidFill>
          </w14:textFill>
        </w:rPr>
        <w:t xml:space="preserve">人，营业收入为</w:t>
      </w:r>
      <w:r>
        <w:rPr>
          <w:rFonts w:hint="eastAsia" w:ascii="宋体" w:hAnsi="宋体" w:eastAsia="宋体" w:cs="宋体"/>
          <w:color w:val="000000" w:themeColor="text1"/>
          <w:highlight w:val="none"/>
          <w14:textFill>
            <w14:solidFill>
              <w14:schemeClr w14:val="tx1"/>
            </w14:solidFill>
          </w14:textFill>
        </w:rPr>
        <w:t xml:space="preserve"> </w:t>
      </w:r>
      <w:r>
        <w:rPr>
          <w:rFonts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 xml:space="preserve"> </w:t>
      </w:r>
      <w:r>
        <w:rPr>
          <w:rFonts w:ascii="宋体" w:hAnsi="宋体" w:eastAsia="宋体" w:cs="宋体"/>
          <w:color w:val="000000" w:themeColor="text1"/>
          <w:highlight w:val="none"/>
          <w14:textFill>
            <w14:solidFill>
              <w14:schemeClr w14:val="tx1"/>
            </w14:solidFill>
          </w14:textFill>
        </w:rPr>
        <w:t xml:space="preserve">万元，资产总额为</w:t>
      </w:r>
      <w:r>
        <w:rPr>
          <w:rFonts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 xml:space="preserve"> </w:t>
      </w:r>
      <w:r>
        <w:rPr>
          <w:rFonts w:ascii="宋体" w:hAnsi="宋体" w:eastAsia="宋体" w:cs="宋体"/>
          <w:color w:val="000000" w:themeColor="text1"/>
          <w:highlight w:val="none"/>
          <w14:textFill>
            <w14:solidFill>
              <w14:schemeClr w14:val="tx1"/>
            </w14:solidFill>
          </w14:textFill>
        </w:rPr>
        <w:t xml:space="preserve">万元 </w:t>
      </w:r>
      <w:r>
        <w:rPr>
          <w:rFonts w:ascii="宋体" w:hAnsi="宋体" w:eastAsia="宋体" w:cs="宋体"/>
          <w:color w:val="000000" w:themeColor="text1"/>
          <w:highlight w:val="none"/>
          <w:vertAlign w:val="superscript"/>
          <w14:textFill>
            <w14:solidFill>
              <w14:schemeClr w14:val="tx1"/>
            </w14:solidFill>
          </w14:textFill>
        </w:rPr>
        <w:t xml:space="preserve">1</w:t>
      </w:r>
      <w:r>
        <w:rPr>
          <w:rFonts w:ascii="宋体" w:hAnsi="宋体" w:eastAsia="宋体" w:cs="宋体"/>
          <w:color w:val="000000" w:themeColor="text1"/>
          <w:highlight w:val="none"/>
          <w14:textFill>
            <w14:solidFill>
              <w14:schemeClr w14:val="tx1"/>
            </w14:solidFill>
          </w14:textFill>
        </w:rPr>
        <w:t xml:space="preserve">，属于</w:t>
      </w:r>
      <w:r>
        <w:rPr>
          <w:rFonts w:hint="eastAsia" w:ascii="宋体" w:hAnsi="宋体" w:cs="宋体"/>
          <w:color w:val="000000" w:themeColor="text1"/>
          <w:highlight w:val="none"/>
          <w:u w:val="single"/>
          <w14:textFill>
            <w14:solidFill>
              <w14:schemeClr w14:val="tx1"/>
            </w14:solidFill>
          </w14:textFill>
        </w:rPr>
        <w:t xml:space="preserve">         </w:t>
      </w:r>
      <w:r>
        <w:rPr>
          <w:rFonts w:ascii="宋体" w:hAnsi="宋体" w:eastAsia="宋体" w:cs="宋体"/>
          <w:color w:val="000000" w:themeColor="text1"/>
          <w:highlight w:val="none"/>
          <w:u w:val="single"/>
          <w14:textFill>
            <w14:solidFill>
              <w14:schemeClr w14:val="tx1"/>
            </w14:solidFill>
          </w14:textFill>
        </w:rPr>
        <w:t xml:space="preserve">（</w:t>
      </w:r>
      <w:r>
        <w:rPr>
          <w:rFonts w:ascii="宋体" w:hAnsi="宋体" w:eastAsia="宋体" w:cs="宋体"/>
          <w:color w:val="000000" w:themeColor="text1"/>
          <w:highlight w:val="none"/>
          <w14:textFill>
            <w14:solidFill>
              <w14:schemeClr w14:val="tx1"/>
            </w14:solidFill>
          </w14:textFill>
        </w:rPr>
        <w:t xml:space="preserve">中型企业、</w:t>
      </w:r>
      <w:r>
        <w:rPr>
          <w:rFonts w:ascii="宋体" w:hAnsi="宋体" w:eastAsia="宋体" w:cs="宋体"/>
          <w:color w:val="000000" w:themeColor="text1"/>
          <w:highlight w:val="none"/>
          <w:u w:val="single"/>
          <w14:textFill>
            <w14:solidFill>
              <w14:schemeClr w14:val="tx1"/>
            </w14:solidFill>
          </w14:textFill>
        </w:rPr>
        <w:t xml:space="preserve">小型企业、微型企业）；</w:t>
      </w:r>
      <w:r/>
    </w:p>
    <w:p>
      <w:pPr>
        <w:numPr>
          <w:ilvl w:val="0"/>
          <w:numId w:val="10"/>
        </w:numPr>
        <w:ind w:left="600" w:firstLine="0"/>
        <w:spacing w:line="460" w:lineRule="exact"/>
        <w:rPr>
          <w:rFonts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i w:val="0"/>
          <w:iCs w:val="0"/>
          <w:color w:val="000000" w:themeColor="text1"/>
          <w:sz w:val="24"/>
          <w:szCs w:val="24"/>
          <w:highlight w:val="none"/>
          <w:u w:val="single"/>
          <w:lang w:val="en-US" w:eastAsia="zh-CN" w:bidi="ar"/>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（标的名称）</w:t>
      </w:r>
      <w:r>
        <w:rPr>
          <w:rFonts w:hint="eastAsia" w:ascii="宋体" w:hAnsi="宋体" w:eastAsia="宋体" w:cs="宋体"/>
          <w:color w:val="000000" w:themeColor="text1"/>
          <w:highlight w:val="none"/>
          <w14:textFill>
            <w14:solidFill>
              <w14:schemeClr w14:val="tx1"/>
            </w14:solidFill>
          </w14:textFill>
        </w:rPr>
        <w:t xml:space="preserve">，属于</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行业；</w:t>
      </w:r>
      <w:r>
        <w:rPr>
          <w:rFonts w:hint="eastAsia" w:ascii="宋体" w:hAnsi="宋体" w:eastAsia="宋体" w:cs="宋体"/>
          <w:color w:val="000000" w:themeColor="text1"/>
          <w:highlight w:val="none"/>
          <w:lang w:val="en-US" w:eastAsia="zh-CN"/>
          <w14:textFill>
            <w14:solidFill>
              <w14:schemeClr w14:val="tx1"/>
            </w14:solidFill>
          </w14:textFill>
        </w:rPr>
        <w:t xml:space="preserve">服务商</w:t>
      </w:r>
      <w:r>
        <w:rPr>
          <w:rFonts w:hint="eastAsia" w:ascii="宋体" w:hAnsi="宋体" w:eastAsia="宋体" w:cs="宋体"/>
          <w:color w:val="000000" w:themeColor="text1"/>
          <w:highlight w:val="none"/>
          <w14:textFill>
            <w14:solidFill>
              <w14:schemeClr w14:val="tx1"/>
            </w14:solidFill>
          </w14:textFill>
        </w:rPr>
        <w:t xml:space="preserve">为（</w:t>
      </w:r>
      <w:r>
        <w:rPr>
          <w:rFonts w:ascii="宋体" w:hAnsi="宋体" w:eastAsia="宋体" w:cs="宋体"/>
          <w:color w:val="000000" w:themeColor="text1"/>
          <w:highlight w:val="none"/>
          <w:u w:val="single"/>
          <w14:textFill>
            <w14:solidFill>
              <w14:schemeClr w14:val="tx1"/>
            </w14:solidFill>
          </w14:textFill>
        </w:rPr>
        <w:t xml:space="preserve">企业名称</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w:t>
      </w:r>
      <w:r/>
    </w:p>
    <w:p>
      <w:pPr>
        <w:numPr>
          <w:ilvl w:val="0"/>
          <w:numId w:val="0"/>
        </w:numPr>
        <w:spacing w:line="460" w:lineRule="exact"/>
        <w:rPr>
          <w:rFonts w:ascii="宋体" w:hAnsi="宋体" w:eastAsia="宋体" w:cs="宋体"/>
          <w:color w:val="000000" w:themeColor="text1"/>
          <w:highlight w:val="none"/>
          <w:u w:val="singl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从业人员</w:t>
      </w:r>
      <w:r>
        <w:rPr>
          <w:rFonts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 xml:space="preserve"> </w:t>
      </w:r>
      <w:r>
        <w:rPr>
          <w:rFonts w:ascii="宋体" w:hAnsi="宋体" w:eastAsia="宋体" w:cs="宋体"/>
          <w:color w:val="000000" w:themeColor="text1"/>
          <w:highlight w:val="none"/>
          <w14:textFill>
            <w14:solidFill>
              <w14:schemeClr w14:val="tx1"/>
            </w14:solidFill>
          </w14:textFill>
        </w:rPr>
        <w:t xml:space="preserve">人，营业收入为</w:t>
      </w:r>
      <w:r>
        <w:rPr>
          <w:rFonts w:hint="eastAsia" w:ascii="宋体" w:hAnsi="宋体" w:eastAsia="宋体" w:cs="宋体"/>
          <w:color w:val="000000" w:themeColor="text1"/>
          <w:highlight w:val="none"/>
          <w14:textFill>
            <w14:solidFill>
              <w14:schemeClr w14:val="tx1"/>
            </w14:solidFill>
          </w14:textFill>
        </w:rPr>
        <w:t xml:space="preserve"> </w:t>
      </w:r>
      <w:r>
        <w:rPr>
          <w:rFonts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 xml:space="preserve"> </w:t>
      </w:r>
      <w:r>
        <w:rPr>
          <w:rFonts w:ascii="宋体" w:hAnsi="宋体" w:eastAsia="宋体" w:cs="宋体"/>
          <w:color w:val="000000" w:themeColor="text1"/>
          <w:highlight w:val="none"/>
          <w14:textFill>
            <w14:solidFill>
              <w14:schemeClr w14:val="tx1"/>
            </w14:solidFill>
          </w14:textFill>
        </w:rPr>
        <w:t xml:space="preserve">万元，资产总额为</w:t>
      </w:r>
      <w:r>
        <w:rPr>
          <w:rFonts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 xml:space="preserve"> </w:t>
      </w:r>
      <w:r>
        <w:rPr>
          <w:rFonts w:ascii="宋体" w:hAnsi="宋体" w:eastAsia="宋体" w:cs="宋体"/>
          <w:color w:val="000000" w:themeColor="text1"/>
          <w:highlight w:val="none"/>
          <w14:textFill>
            <w14:solidFill>
              <w14:schemeClr w14:val="tx1"/>
            </w14:solidFill>
          </w14:textFill>
        </w:rPr>
        <w:t xml:space="preserve">万元 </w:t>
      </w:r>
      <w:r>
        <w:rPr>
          <w:rFonts w:ascii="宋体" w:hAnsi="宋体" w:eastAsia="宋体" w:cs="宋体"/>
          <w:color w:val="000000" w:themeColor="text1"/>
          <w:highlight w:val="none"/>
          <w:vertAlign w:val="superscript"/>
          <w14:textFill>
            <w14:solidFill>
              <w14:schemeClr w14:val="tx1"/>
            </w14:solidFill>
          </w14:textFill>
        </w:rPr>
        <w:t xml:space="preserve">1</w:t>
      </w:r>
      <w:r>
        <w:rPr>
          <w:rFonts w:ascii="宋体" w:hAnsi="宋体" w:eastAsia="宋体" w:cs="宋体"/>
          <w:color w:val="000000" w:themeColor="text1"/>
          <w:highlight w:val="none"/>
          <w14:textFill>
            <w14:solidFill>
              <w14:schemeClr w14:val="tx1"/>
            </w14:solidFill>
          </w14:textFill>
        </w:rPr>
        <w:t xml:space="preserve">，属于</w:t>
      </w:r>
      <w:r>
        <w:rPr>
          <w:rFonts w:hint="eastAsia" w:ascii="宋体" w:hAnsi="宋体" w:cs="宋体"/>
          <w:color w:val="000000" w:themeColor="text1"/>
          <w:highlight w:val="none"/>
          <w:u w:val="single"/>
          <w14:textFill>
            <w14:solidFill>
              <w14:schemeClr w14:val="tx1"/>
            </w14:solidFill>
          </w14:textFill>
        </w:rPr>
        <w:t xml:space="preserve">         </w:t>
      </w:r>
      <w:r>
        <w:rPr>
          <w:rFonts w:ascii="宋体" w:hAnsi="宋体" w:eastAsia="宋体" w:cs="宋体"/>
          <w:color w:val="000000" w:themeColor="text1"/>
          <w:highlight w:val="none"/>
          <w:u w:val="single"/>
          <w14:textFill>
            <w14:solidFill>
              <w14:schemeClr w14:val="tx1"/>
            </w14:solidFill>
          </w14:textFill>
        </w:rPr>
        <w:t xml:space="preserve">（中型企业、小型企业、微型企业）；</w:t>
      </w:r>
      <w:r/>
    </w:p>
    <w:p>
      <w:pPr>
        <w:ind w:firstLine="480"/>
        <w:spacing w:line="460" w:lineRule="exact"/>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w:t>
      </w:r>
      <w:r/>
    </w:p>
    <w:p>
      <w:pPr>
        <w:ind w:left="0" w:firstLine="0"/>
        <w:spacing w:line="460" w:lineRule="exact"/>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p>
      <w:pPr>
        <w:ind w:firstLine="480"/>
        <w:spacing w:line="460" w:lineRule="exact"/>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460" w:lineRule="exact"/>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本企业对上述声明内容的真实性负责。如有虚假，将依 法承担相应责任。</w:t>
      </w:r>
      <w:r/>
    </w:p>
    <w:p>
      <w:pPr>
        <w:ind w:firstLine="480"/>
        <w:jc w:val="center"/>
        <w:spacing w:line="4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1137"/>
        <w:ind w:left="0" w:firstLine="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80"/>
        <w:jc w:val="center"/>
        <w:spacing w:line="460" w:lineRule="exac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rPr>
          <w:rFonts w:ascii="宋体" w:hAnsi="宋体" w:eastAsia="宋体" w:cs="宋体"/>
          <w:color w:val="000000" w:themeColor="text1"/>
          <w:highlight w:val="none"/>
          <w14:textFill>
            <w14:solidFill>
              <w14:schemeClr w14:val="tx1"/>
            </w14:solidFill>
          </w14:textFill>
        </w:rPr>
        <w:t xml:space="preserve">企业名称（</w:t>
      </w:r>
      <w:r>
        <w:rPr>
          <w:rFonts w:hint="eastAsia" w:ascii="宋体" w:hAnsi="宋体" w:eastAsia="宋体" w:cs="宋体"/>
          <w:color w:val="000000" w:themeColor="text1"/>
          <w:highlight w:val="none"/>
          <w14:textFill>
            <w14:solidFill>
              <w14:schemeClr w14:val="tx1"/>
            </w14:solidFill>
          </w14:textFill>
        </w:rPr>
        <w:t xml:space="preserve">电子签章</w:t>
      </w:r>
      <w:r>
        <w:rPr>
          <w:rFonts w:ascii="宋体" w:hAnsi="宋体" w:eastAsia="宋体" w:cs="宋体"/>
          <w:color w:val="000000" w:themeColor="text1"/>
          <w:highlight w:val="none"/>
          <w14:textFill>
            <w14:solidFill>
              <w14:schemeClr w14:val="tx1"/>
            </w14:solidFill>
          </w14:textFill>
        </w:rPr>
        <w:t xml:space="preserve">）： </w:t>
      </w:r>
      <w:r/>
    </w:p>
    <w:p>
      <w:pPr>
        <w:ind w:firstLine="480"/>
        <w:jc w:val="center"/>
        <w:spacing w:line="460" w:lineRule="exact"/>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rPr>
          <w:rFonts w:ascii="宋体" w:hAnsi="宋体" w:eastAsia="宋体" w:cs="宋体"/>
          <w:color w:val="000000" w:themeColor="text1"/>
          <w:highlight w:val="none"/>
          <w14:textFill>
            <w14:solidFill>
              <w14:schemeClr w14:val="tx1"/>
            </w14:solidFill>
          </w14:textFill>
        </w:rPr>
        <w:t xml:space="preserve">日 期： </w:t>
      </w:r>
      <w:r/>
    </w:p>
    <w:p>
      <w:pPr>
        <w:ind w:firstLine="240"/>
        <w:spacing w:line="460" w:lineRule="exact"/>
        <w:rPr>
          <w:rFonts w:hint="default" w:ascii="宋体" w:hAnsi="宋体" w:eastAsia="仿宋_GB2312" w:cs="宋体"/>
          <w:color w:val="000000" w:themeColor="text1"/>
          <w:highlight w:val="none"/>
          <w:u w:val="single"/>
          <w:lang w:val="en-US" w:eastAsia="zh-CN"/>
          <w14:textFill>
            <w14:solidFill>
              <w14:schemeClr w14:val="tx1"/>
            </w14:solidFill>
          </w14:textFill>
        </w:rPr>
      </w:pP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lang w:val="en-US" w:eastAsia="zh-CN"/>
          <w14:textFill>
            <w14:solidFill>
              <w14:schemeClr w14:val="tx1"/>
            </w14:solidFill>
          </w14:textFill>
        </w:rPr>
        <w:t xml:space="preserve">           </w:t>
      </w:r>
      <w:r/>
    </w:p>
    <w:p>
      <w:pPr>
        <w:ind w:firstLine="360"/>
        <w:spacing w:line="460" w:lineRule="exact"/>
        <w:rPr>
          <w:rFonts w:ascii="宋体" w:hAnsi="宋体" w:eastAsia="宋体" w:cs="宋体"/>
          <w:color w:val="000000" w:themeColor="text1"/>
          <w:sz w:val="18"/>
          <w:szCs w:val="18"/>
          <w:highlight w:val="none"/>
          <w14:textFill>
            <w14:solidFill>
              <w14:schemeClr w14:val="tx1"/>
            </w14:solidFill>
          </w14:textFill>
        </w:rPr>
      </w:pPr>
      <w:r>
        <w:rPr>
          <w:rFonts w:ascii="宋体" w:hAnsi="宋体" w:eastAsia="宋体" w:cs="宋体"/>
          <w:color w:val="000000" w:themeColor="text1"/>
          <w:sz w:val="18"/>
          <w:szCs w:val="18"/>
          <w:highlight w:val="none"/>
          <w:vertAlign w:val="superscript"/>
          <w14:textFill>
            <w14:solidFill>
              <w14:schemeClr w14:val="tx1"/>
            </w14:solidFill>
          </w14:textFill>
        </w:rPr>
        <w:t xml:space="preserve">1</w:t>
      </w:r>
      <w:r>
        <w:rPr>
          <w:rFonts w:ascii="宋体" w:hAnsi="宋体" w:eastAsia="宋体" w:cs="宋体"/>
          <w:color w:val="000000" w:themeColor="text1"/>
          <w:sz w:val="18"/>
          <w:szCs w:val="18"/>
          <w:highlight w:val="none"/>
          <w14:textFill>
            <w14:solidFill>
              <w14:schemeClr w14:val="tx1"/>
            </w14:solidFill>
          </w14:textFill>
        </w:rPr>
        <w:t xml:space="preserve">从业人员、营业收入、资产总额填报上一年度数据，无上一年度数据的新成立企业可不填报。</w:t>
      </w:r>
      <w:r/>
    </w:p>
    <w:p>
      <w:pPr>
        <w:pStyle w:val="1398"/>
        <w:ind w:firstLine="360"/>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p>
      <w:pPr>
        <w:pStyle w:val="1398"/>
        <w:ind w:firstLine="360"/>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p>
      <w:pPr>
        <w:pStyle w:val="1398"/>
        <w:ind w:firstLine="360"/>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p>
      <w:pPr>
        <w:numPr>
          <w:ilvl w:val="0"/>
          <w:numId w:val="0"/>
        </w:numPr>
        <w:jc w:val="center"/>
        <w:spacing w:before="100" w:beforeAutospacing="1" w:after="100" w:afterAutospacing="1" w:line="450" w:lineRule="atLeast"/>
        <w:widowControl/>
        <w:rPr>
          <w:rFonts w:hint="eastAsia" w:ascii="宋体" w:hAnsi="宋体" w:eastAsia="宋体" w:cs="宋体"/>
          <w:b/>
          <w:bCs/>
          <w:color w:val="000000" w:themeColor="text1"/>
          <w:sz w:val="30"/>
          <w:szCs w:val="30"/>
          <w:highlight w:val="none"/>
          <w:lang w:val="en-US" w:eastAsia="zh-CN"/>
          <w14:textFill>
            <w14:solidFill>
              <w14:schemeClr w14:val="tx1"/>
            </w14:solidFill>
          </w14:textFill>
        </w:rPr>
      </w:pPr>
      <w:r>
        <w:rPr>
          <w:rFonts w:hint="eastAsia" w:ascii="宋体" w:hAnsi="宋体" w:eastAsia="宋体" w:cs="宋体"/>
          <w:b/>
          <w:bCs/>
          <w:color w:val="000000" w:themeColor="text1"/>
          <w:sz w:val="30"/>
          <w:szCs w:val="30"/>
          <w:highlight w:val="none"/>
          <w:lang w:val="en-US" w:eastAsia="zh-CN"/>
          <w14:textFill>
            <w14:solidFill>
              <w14:schemeClr w14:val="tx1"/>
            </w14:solidFill>
          </w14:textFill>
        </w:rPr>
        <w:t xml:space="preserve">监狱企业证明函</w:t>
      </w:r>
      <w:r>
        <w:rPr>
          <w:rFonts w:hint="eastAsia" w:ascii="宋体" w:hAnsi="宋体" w:eastAsia="宋体" w:cs="宋体"/>
          <w:b/>
          <w:bCs/>
          <w:color w:val="000000" w:themeColor="text1"/>
          <w:sz w:val="30"/>
          <w:szCs w:val="30"/>
          <w:highlight w:val="none"/>
          <w14:textFill>
            <w14:solidFill>
              <w14:schemeClr w14:val="tx1"/>
            </w14:solidFill>
          </w14:textFill>
        </w:rPr>
        <w:t xml:space="preserve">（如有）</w:t>
      </w:r>
      <w:r/>
    </w:p>
    <w:p>
      <w:pPr>
        <w:ind w:firstLine="504"/>
        <w:spacing w:line="588" w:lineRule="exact"/>
        <w:rPr>
          <w:rFonts w:hint="eastAsia" w:ascii="宋体" w:hAnsi="宋体" w:eastAsia="宋体" w:cs="宋体"/>
          <w:color w:val="000000" w:themeColor="text1"/>
          <w:spacing w:val="6"/>
          <w:highlight w:val="none"/>
          <w:lang w:val="en-US" w:eastAsia="zh-CN"/>
          <w14:textFill>
            <w14:solidFill>
              <w14:schemeClr w14:val="tx1"/>
            </w14:solidFill>
          </w14:textFill>
        </w:rPr>
      </w:pPr>
      <w:r>
        <w:rPr>
          <w:rFonts w:hint="eastAsia" w:ascii="宋体" w:hAnsi="宋体" w:eastAsia="宋体" w:cs="宋体"/>
          <w:color w:val="000000" w:themeColor="text1"/>
          <w:spacing w:val="6"/>
          <w:highlight w:val="none"/>
          <w:lang w:val="en-US" w:eastAsia="zh-CN"/>
          <w14:textFill>
            <w14:solidFill>
              <w14:schemeClr w14:val="tx1"/>
            </w14:solidFill>
          </w14:textFill>
        </w:rPr>
        <w:t xml:space="preserve">根据《财政部司法部关于政府采购支持监狱企业发展有关问题的通知》（财库[2014]68号）的规定，</w:t>
      </w:r>
      <w:r>
        <w:rPr>
          <w:rFonts w:hint="eastAsia" w:ascii="宋体" w:hAnsi="宋体" w:eastAsia="宋体" w:cs="宋体"/>
          <w:color w:val="000000" w:themeColor="text1"/>
          <w:spacing w:val="6"/>
          <w:highlight w:val="none"/>
          <w:u w:val="single"/>
          <w:lang w:val="en-US" w:eastAsia="zh-CN"/>
          <w14:textFill>
            <w14:solidFill>
              <w14:schemeClr w14:val="tx1"/>
            </w14:solidFill>
          </w14:textFill>
        </w:rPr>
        <w:t xml:space="preserve"> （填写供应商法定全称）</w:t>
      </w:r>
      <w:r>
        <w:rPr>
          <w:rFonts w:hint="eastAsia" w:ascii="宋体" w:hAnsi="宋体" w:eastAsia="宋体" w:cs="宋体"/>
          <w:color w:val="000000" w:themeColor="text1"/>
          <w:spacing w:val="6"/>
          <w:highlight w:val="none"/>
          <w:lang w:val="en-US" w:eastAsia="zh-CN"/>
          <w14:textFill>
            <w14:solidFill>
              <w14:schemeClr w14:val="tx1"/>
            </w14:solidFill>
          </w14:textFill>
        </w:rPr>
        <w:t xml:space="preserve"> 为监狱企业。</w:t>
      </w:r>
      <w:r/>
    </w:p>
    <w:p>
      <w:pPr>
        <w:ind w:firstLine="504"/>
        <w:spacing w:line="588" w:lineRule="exact"/>
        <w:rPr>
          <w:rFonts w:hint="eastAsia" w:ascii="宋体" w:hAnsi="宋体" w:eastAsia="宋体" w:cs="宋体"/>
          <w:color w:val="000000" w:themeColor="text1"/>
          <w:spacing w:val="6"/>
          <w:highlight w:val="none"/>
          <w:lang w:val="en-US" w:eastAsia="zh-CN"/>
          <w14:textFill>
            <w14:solidFill>
              <w14:schemeClr w14:val="tx1"/>
            </w14:solidFill>
          </w14:textFill>
        </w:rPr>
      </w:pPr>
      <w:r>
        <w:rPr>
          <w:rFonts w:hint="eastAsia" w:ascii="宋体" w:hAnsi="宋体" w:eastAsia="宋体" w:cs="宋体"/>
          <w:color w:val="000000" w:themeColor="text1"/>
          <w:spacing w:val="6"/>
          <w:highlight w:val="none"/>
          <w:lang w:val="en-US" w:eastAsia="zh-CN"/>
          <w14:textFill>
            <w14:solidFill>
              <w14:schemeClr w14:val="tx1"/>
            </w14:solidFill>
          </w14:textFill>
        </w:rPr>
        <w:t xml:space="preserve">特此证明。</w:t>
      </w:r>
      <w:r/>
    </w:p>
    <w:p>
      <w:pPr>
        <w:ind w:firstLine="504"/>
        <w:spacing w:line="588" w:lineRule="exact"/>
        <w:rPr>
          <w:rFonts w:hint="eastAsia" w:ascii="宋体" w:hAnsi="宋体" w:eastAsia="宋体" w:cs="宋体"/>
          <w:color w:val="000000" w:themeColor="text1"/>
          <w:spacing w:val="6"/>
          <w:highlight w:val="none"/>
          <w:lang w:val="en-US" w:eastAsia="zh-CN"/>
          <w14:textFill>
            <w14:solidFill>
              <w14:schemeClr w14:val="tx1"/>
            </w14:solidFill>
          </w14:textFill>
        </w:rPr>
      </w:pPr>
      <w:r>
        <w:rPr>
          <w:rFonts w:hint="eastAsia" w:ascii="宋体" w:hAnsi="宋体" w:eastAsia="宋体" w:cs="宋体"/>
          <w:color w:val="000000" w:themeColor="text1"/>
          <w:spacing w:val="6"/>
          <w:highlight w:val="none"/>
          <w:lang w:val="en-US" w:eastAsia="zh-CN"/>
          <w14:textFill>
            <w14:solidFill>
              <w14:schemeClr w14:val="tx1"/>
            </w14:solidFill>
          </w14:textFill>
        </w:rPr>
      </w:r>
      <w:r/>
    </w:p>
    <w:p>
      <w:pPr>
        <w:ind w:firstLine="504"/>
        <w:spacing w:line="588" w:lineRule="exact"/>
        <w:rPr>
          <w:rFonts w:hint="eastAsia" w:ascii="宋体" w:hAnsi="宋体" w:eastAsia="宋体" w:cs="宋体"/>
          <w:color w:val="000000" w:themeColor="text1"/>
          <w:spacing w:val="6"/>
          <w:highlight w:val="none"/>
          <w:lang w:val="en-US" w:eastAsia="zh-CN"/>
          <w14:textFill>
            <w14:solidFill>
              <w14:schemeClr w14:val="tx1"/>
            </w14:solidFill>
          </w14:textFill>
        </w:rPr>
      </w:pPr>
      <w:r>
        <w:rPr>
          <w:rFonts w:hint="eastAsia" w:ascii="宋体" w:hAnsi="宋体" w:eastAsia="宋体" w:cs="宋体"/>
          <w:color w:val="000000" w:themeColor="text1"/>
          <w:spacing w:val="6"/>
          <w:highlight w:val="none"/>
          <w:lang w:val="en-US" w:eastAsia="zh-CN"/>
          <w14:textFill>
            <w14:solidFill>
              <w14:schemeClr w14:val="tx1"/>
            </w14:solidFill>
          </w14:textFill>
        </w:rPr>
      </w:r>
      <w:r/>
    </w:p>
    <w:p>
      <w:pPr>
        <w:ind w:left="0" w:firstLine="0"/>
        <w:jc w:val="right"/>
        <w:spacing w:line="588" w:lineRule="exact"/>
        <w:rPr>
          <w:rFonts w:hint="eastAsia" w:ascii="宋体" w:hAnsi="宋体" w:eastAsia="宋体" w:cs="宋体"/>
          <w:color w:val="000000" w:themeColor="text1"/>
          <w:spacing w:val="6"/>
          <w:highlight w:val="none"/>
          <w:lang w:val="en-US" w:eastAsia="zh-CN"/>
          <w14:textFill>
            <w14:solidFill>
              <w14:schemeClr w14:val="tx1"/>
            </w14:solidFill>
          </w14:textFill>
        </w:rPr>
      </w:pPr>
      <w:r>
        <w:rPr>
          <w:rFonts w:hint="eastAsia" w:ascii="宋体" w:hAnsi="宋体" w:eastAsia="宋体" w:cs="宋体"/>
          <w:color w:val="000000" w:themeColor="text1"/>
          <w:spacing w:val="6"/>
          <w:highlight w:val="none"/>
          <w:lang w:val="en-US" w:eastAsia="zh-CN"/>
          <w14:textFill>
            <w14:solidFill>
              <w14:schemeClr w14:val="tx1"/>
            </w14:solidFill>
          </w14:textFill>
        </w:rPr>
        <w:t xml:space="preserve">省级以上监狱管理局、戒毒管理局（含新疆生产建设兵团）（盖章）：</w:t>
      </w:r>
      <w:r/>
    </w:p>
    <w:p>
      <w:pPr>
        <w:jc w:val="right"/>
        <w:rPr>
          <w:rFonts w:hint="eastAsia"/>
          <w:color w:val="000000" w:themeColor="text1"/>
          <w:highlight w:val="none"/>
          <w14:textFill>
            <w14:solidFill>
              <w14:schemeClr w14:val="tx1"/>
            </w14:solidFill>
          </w14:textFill>
        </w:rPr>
        <w:sectPr>
          <w:headerReference w:type="default" r:id="rId13"/>
          <w:footerReference w:type="default" r:id="rId24"/>
          <w:footnotePr/>
          <w:endnotePr/>
          <w:type w:val="nextPage"/>
          <w:pgSz w:w="11906" w:h="16838" w:orient="portrait"/>
          <w:pgMar w:top="1440" w:right="1466" w:bottom="1440" w:left="1560" w:header="851" w:footer="992" w:gutter="0"/>
          <w:cols w:num="1" w:sep="0" w:space="1701" w:equalWidth="1"/>
          <w:docGrid w:linePitch="360"/>
        </w:sectPr>
      </w:pPr>
      <w:r>
        <w:rPr>
          <w:rFonts w:hint="eastAsia" w:ascii="宋体" w:hAnsi="宋体" w:eastAsia="宋体" w:cs="宋体"/>
          <w:color w:val="000000" w:themeColor="text1"/>
          <w:spacing w:val="6"/>
          <w:highlight w:val="none"/>
          <w:lang w:val="en-US" w:eastAsia="zh-CN"/>
          <w14:textFill>
            <w14:solidFill>
              <w14:schemeClr w14:val="tx1"/>
            </w14:solidFill>
          </w14:textFill>
        </w:rPr>
        <w:t xml:space="preserve">日 期：   年  月  日</w:t>
      </w:r>
      <w:r/>
    </w:p>
    <w:p>
      <w:pPr>
        <w:pStyle w:val="131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numPr>
          <w:ilvl w:val="0"/>
          <w:numId w:val="0"/>
        </w:numPr>
        <w:ind w:firstLine="2409"/>
        <w:jc w:val="both"/>
        <w:spacing w:before="100" w:beforeAutospacing="1" w:after="100" w:afterAutospacing="1" w:line="450" w:lineRule="atLeast"/>
        <w:widowControl/>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残疾人福利性单位声明函（如有）</w:t>
      </w:r>
      <w:r/>
    </w:p>
    <w:p>
      <w:pPr>
        <w:ind w:firstLine="504"/>
        <w:spacing w:line="588" w:lineRule="exact"/>
        <w:rPr>
          <w:rFonts w:hint="eastAsia" w:ascii="宋体" w:hAnsi="宋体" w:eastAsia="宋体" w:cs="宋体"/>
          <w:color w:val="000000" w:themeColor="text1"/>
          <w:spacing w:val="6"/>
          <w:highlight w:val="none"/>
          <w14:textFill>
            <w14:solidFill>
              <w14:schemeClr w14:val="tx1"/>
            </w14:solidFill>
          </w14:textFill>
        </w:rPr>
      </w:pPr>
      <w:r>
        <w:rPr>
          <w:rFonts w:hint="eastAsia" w:ascii="宋体" w:hAnsi="宋体" w:eastAsia="宋体" w:cs="宋体"/>
          <w:color w:val="000000" w:themeColor="text1"/>
          <w:spacing w:val="6"/>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highlight w:val="none"/>
          <w14:textFill>
            <w14:solidFill>
              <w14:schemeClr w14:val="tx1"/>
            </w14:solidFill>
          </w14:textFill>
        </w:rPr>
        <w:t xml:space="preserve">〔2017〕141</w:t>
      </w:r>
      <w:r>
        <w:rPr>
          <w:rFonts w:hint="eastAsia" w:ascii="宋体" w:hAnsi="宋体" w:eastAsia="宋体" w:cs="宋体"/>
          <w:color w:val="000000" w:themeColor="text1"/>
          <w:spacing w:val="6"/>
          <w:highlight w:val="none"/>
          <w14:textFill>
            <w14:solidFill>
              <w14:schemeClr w14:val="tx1"/>
            </w14:solidFill>
          </w14:textFill>
        </w:rPr>
        <w:t xml:space="preserve">号）的规定，本单位为符合条件的残疾人福利性单位，且本单位参加</w:t>
      </w:r>
      <w:r>
        <w:rPr>
          <w:rFonts w:hint="eastAsia" w:ascii="宋体" w:hAnsi="宋体" w:eastAsia="宋体" w:cs="宋体"/>
          <w:color w:val="000000" w:themeColor="text1"/>
          <w:highlight w:val="none"/>
          <w14:textFill>
            <w14:solidFill>
              <w14:schemeClr w14:val="tx1"/>
            </w14:solidFill>
          </w14:textFill>
        </w:rPr>
        <w:t xml:space="preserve">______</w:t>
      </w:r>
      <w:r>
        <w:rPr>
          <w:rFonts w:hint="eastAsia" w:ascii="宋体" w:hAnsi="宋体" w:eastAsia="宋体" w:cs="宋体"/>
          <w:color w:val="000000" w:themeColor="text1"/>
          <w:spacing w:val="6"/>
          <w:highlight w:val="none"/>
          <w14:textFill>
            <w14:solidFill>
              <w14:schemeClr w14:val="tx1"/>
            </w14:solidFill>
          </w14:textFill>
        </w:rPr>
        <w:t xml:space="preserve">单位的</w:t>
      </w:r>
      <w:r>
        <w:rPr>
          <w:rFonts w:hint="eastAsia" w:ascii="宋体" w:hAnsi="宋体" w:eastAsia="宋体" w:cs="宋体"/>
          <w:color w:val="000000" w:themeColor="text1"/>
          <w:highlight w:val="none"/>
          <w14:textFill>
            <w14:solidFill>
              <w14:schemeClr w14:val="tx1"/>
            </w14:solidFill>
          </w14:textFill>
        </w:rPr>
        <w:t xml:space="preserve">______</w:t>
      </w:r>
      <w:r>
        <w:rPr>
          <w:rFonts w:hint="eastAsia" w:ascii="宋体" w:hAnsi="宋体" w:eastAsia="宋体" w:cs="宋体"/>
          <w:color w:val="000000" w:themeColor="text1"/>
          <w:spacing w:val="6"/>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hint="eastAsia" w:ascii="宋体" w:hAnsi="宋体" w:eastAsia="宋体" w:cs="宋体"/>
          <w:color w:val="000000" w:themeColor="text1"/>
          <w:spacing w:val="6"/>
          <w:highlight w:val="none"/>
          <w14:textFill>
            <w14:solidFill>
              <w14:schemeClr w14:val="tx1"/>
            </w14:solidFill>
          </w14:textFill>
        </w:rPr>
      </w:pPr>
      <w:r>
        <w:rPr>
          <w:rFonts w:hint="eastAsia" w:ascii="宋体" w:hAnsi="宋体" w:eastAsia="宋体" w:cs="宋体"/>
          <w:color w:val="000000" w:themeColor="text1"/>
          <w:spacing w:val="6"/>
          <w:highlight w:val="none"/>
          <w14:textFill>
            <w14:solidFill>
              <w14:schemeClr w14:val="tx1"/>
            </w14:solidFill>
          </w14:textFill>
        </w:rPr>
        <w:t xml:space="preserve">本单位对上述声明的真实性负责。如有虚假，将依法承担相应责任。</w:t>
      </w:r>
      <w:r/>
    </w:p>
    <w:p>
      <w:pPr>
        <w:ind w:firstLine="504"/>
        <w:spacing w:line="588" w:lineRule="exact"/>
        <w:rPr>
          <w:rFonts w:hint="eastAsia" w:ascii="宋体" w:hAnsi="宋体" w:eastAsia="宋体" w:cs="宋体"/>
          <w:color w:val="000000" w:themeColor="text1"/>
          <w:spacing w:val="6"/>
          <w:highlight w:val="none"/>
          <w14:textFill>
            <w14:solidFill>
              <w14:schemeClr w14:val="tx1"/>
            </w14:solidFill>
          </w14:textFill>
        </w:rPr>
      </w:pPr>
      <w:r>
        <w:rPr>
          <w:rFonts w:hint="eastAsia" w:ascii="宋体" w:hAnsi="宋体" w:eastAsia="宋体" w:cs="宋体"/>
          <w:color w:val="000000" w:themeColor="text1"/>
          <w:spacing w:val="6"/>
          <w:highlight w:val="none"/>
          <w14:textFill>
            <w14:solidFill>
              <w14:schemeClr w14:val="tx1"/>
            </w14:solidFill>
          </w14:textFill>
        </w:rPr>
      </w:r>
      <w:r/>
    </w:p>
    <w:p>
      <w:pPr>
        <w:ind w:firstLine="504"/>
        <w:spacing w:line="588" w:lineRule="exact"/>
        <w:rPr>
          <w:rFonts w:hint="eastAsia" w:ascii="宋体" w:hAnsi="宋体" w:eastAsia="宋体" w:cs="宋体"/>
          <w:color w:val="000000" w:themeColor="text1"/>
          <w:spacing w:val="6"/>
          <w:highlight w:val="none"/>
          <w14:textFill>
            <w14:solidFill>
              <w14:schemeClr w14:val="tx1"/>
            </w14:solidFill>
          </w14:textFill>
        </w:rPr>
      </w:pPr>
      <w:r>
        <w:rPr>
          <w:rFonts w:hint="eastAsia" w:ascii="宋体" w:hAnsi="宋体" w:eastAsia="宋体" w:cs="宋体"/>
          <w:color w:val="000000" w:themeColor="text1"/>
          <w:spacing w:val="6"/>
          <w:highlight w:val="none"/>
          <w14:textFill>
            <w14:solidFill>
              <w14:schemeClr w14:val="tx1"/>
            </w14:solidFill>
          </w14:textFill>
        </w:rPr>
      </w:r>
      <w:r/>
    </w:p>
    <w:p>
      <w:pPr>
        <w:jc w:val="right"/>
        <w:keepLines w:val="0"/>
        <w:keepNext w:val="0"/>
        <w:pageBreakBefore w:val="0"/>
        <w:spacing w:line="500" w:lineRule="exact"/>
        <w:widowControl w:val="off"/>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投标人名称（电子签章）： ____________                     </w:t>
      </w:r>
      <w:r/>
    </w:p>
    <w:p>
      <w:pPr>
        <w:ind w:firstLine="480"/>
        <w:jc w:val="center"/>
        <w:keepLines w:val="0"/>
        <w:keepNext w:val="0"/>
        <w:pageBreakBefore w:val="0"/>
        <w:spacing w:line="500" w:lineRule="exact"/>
        <w:widowControl w:val="off"/>
        <w:rPr>
          <w:rFonts w:hint="eastAsia" w:ascii="宋体" w:hAnsi="宋体" w:eastAsia="宋体" w:cs="宋体"/>
          <w:color w:val="000000" w:themeColor="text1"/>
          <w:highlight w:val="none"/>
          <w14:textFill>
            <w14:solidFill>
              <w14:schemeClr w14:val="tx1"/>
            </w14:solidFill>
          </w14:textFill>
        </w:rPr>
        <w:sectPr>
          <w:headerReference w:type="default" r:id="rId14"/>
          <w:footerReference w:type="default" r:id="rId25"/>
          <w:footnotePr/>
          <w:endnotePr/>
          <w:type w:val="nextPage"/>
          <w:pgSz w:w="11906" w:h="16838" w:orient="portrait"/>
          <w:pgMar w:top="1440" w:right="1466" w:bottom="1440" w:left="1560" w:header="851" w:footer="992" w:gutter="0"/>
          <w:cols w:num="1" w:sep="0" w:space="1701" w:equalWidth="1"/>
          <w:docGrid w:linePitch="360"/>
        </w:sectPr>
        <w:outlineLvl w:val="9"/>
      </w:pP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日  期：   年  月  日</w:t>
      </w:r>
      <w:r/>
    </w:p>
    <w:p>
      <w:pPr>
        <w:ind w:left="0" w:firstLine="0"/>
        <w:spacing w:line="360" w:lineRule="auto"/>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r>
      <w:r/>
    </w:p>
    <w:p>
      <w:pPr>
        <w:ind w:firstLine="602"/>
        <w:jc w:val="center"/>
        <w:spacing w:line="360" w:lineRule="auto"/>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30"/>
          <w:szCs w:val="30"/>
          <w:highlight w:val="none"/>
          <w14:textFill>
            <w14:solidFill>
              <w14:schemeClr w14:val="tx1"/>
            </w14:solidFill>
          </w14:textFill>
        </w:rPr>
        <w:t xml:space="preserve">.具备履行合同所必需的设备和专业技术能力的书面声明</w:t>
      </w:r>
      <w:r/>
    </w:p>
    <w:p>
      <w:pPr>
        <w:ind w:firstLine="439"/>
        <w:jc w:val="cente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项目编号：</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JSZC-320321-FXZX-G2026-0006</w:t>
      </w:r>
      <w:r/>
    </w:p>
    <w:p>
      <w:pPr>
        <w:pStyle w:val="1311"/>
        <w:ind w:firstLine="48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136"/>
        <w:ind w:firstLine="480"/>
        <w:spacing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我单位郑重声明：我单位具备履行本项</w:t>
      </w:r>
      <w:r>
        <w:rPr>
          <w:rFonts w:hint="eastAsia" w:ascii="宋体" w:hAnsi="宋体" w:cs="宋体"/>
          <w:color w:val="000000" w:themeColor="text1"/>
          <w:highlight w:val="none"/>
          <w:lang w:val="en-US" w:eastAsia="zh-CN"/>
          <w14:textFill>
            <w14:solidFill>
              <w14:schemeClr w14:val="tx1"/>
            </w14:solidFill>
          </w14:textFill>
        </w:rPr>
        <w:t xml:space="preserve">目</w:t>
      </w:r>
      <w:r>
        <w:rPr>
          <w:rFonts w:hint="eastAsia" w:ascii="宋体" w:hAnsi="宋体" w:cs="宋体"/>
          <w:color w:val="000000" w:themeColor="text1"/>
          <w:highlight w:val="none"/>
          <w14:textFill>
            <w14:solidFill>
              <w14:schemeClr w14:val="tx1"/>
            </w14:solidFill>
          </w14:textFill>
        </w:rPr>
        <w:t xml:space="preserve">采购合同所必需的设备和专业技术能力，</w:t>
      </w:r>
      <w:r>
        <w:rPr>
          <w:rFonts w:hint="eastAsia" w:ascii="宋体" w:hAnsi="宋体" w:cs="宋体"/>
          <w:color w:val="000000" w:themeColor="text1"/>
          <w:highlight w:val="none"/>
          <w:lang w:val="en-US" w:eastAsia="zh-CN"/>
          <w14:textFill>
            <w14:solidFill>
              <w14:schemeClr w14:val="tx1"/>
            </w14:solidFill>
          </w14:textFill>
        </w:rPr>
        <w:t xml:space="preserve">具体为</w:t>
      </w:r>
      <w:r>
        <w:rPr>
          <w:rFonts w:hint="eastAsia" w:ascii="宋体" w:hAnsi="宋体" w:cs="宋体"/>
          <w:color w:val="000000" w:themeColor="text1"/>
          <w:highlight w:val="none"/>
          <w14:textFill>
            <w14:solidFill>
              <w14:schemeClr w14:val="tx1"/>
            </w14:solidFill>
          </w14:textFill>
        </w:rPr>
        <w:t xml:space="preserve">：</w:t>
      </w:r>
      <w:r/>
    </w:p>
    <w:p>
      <w:pPr>
        <w:ind w:firstLine="480"/>
        <w:spacing w:line="4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4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主要设备：</w:t>
      </w:r>
      <w:r/>
    </w:p>
    <w:p>
      <w:pPr>
        <w:ind w:firstLine="480"/>
        <w:spacing w:line="4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 （证明材料原件扫描件附后）</w:t>
      </w:r>
      <w:r/>
    </w:p>
    <w:p>
      <w:pPr>
        <w:ind w:firstLine="480"/>
        <w:spacing w:line="4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 （证明材料原件扫描件附后）</w:t>
      </w:r>
      <w:r/>
    </w:p>
    <w:p>
      <w:pPr>
        <w:ind w:firstLine="480"/>
        <w:spacing w:line="4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 （证明材料原件扫描件附后）</w:t>
      </w:r>
      <w:r/>
    </w:p>
    <w:p>
      <w:pPr>
        <w:ind w:firstLine="480"/>
        <w:spacing w:line="4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p>
      <w:pPr>
        <w:ind w:firstLine="480"/>
        <w:spacing w:line="4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主要专业技术能力：</w:t>
      </w:r>
      <w:r/>
    </w:p>
    <w:p>
      <w:pPr>
        <w:ind w:firstLine="480"/>
        <w:spacing w:line="4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 （证明材料原件扫描件附后）</w:t>
      </w:r>
      <w:r/>
    </w:p>
    <w:p>
      <w:pPr>
        <w:ind w:firstLine="480"/>
        <w:spacing w:line="4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 （证明材料原件扫描件附后）</w:t>
      </w:r>
      <w:r/>
    </w:p>
    <w:p>
      <w:pPr>
        <w:ind w:firstLine="480"/>
        <w:spacing w:line="4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 （证明材料原件扫描件附后）</w:t>
      </w:r>
      <w:r/>
    </w:p>
    <w:p>
      <w:pPr>
        <w:ind w:firstLine="480"/>
        <w:spacing w:line="4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p>
      <w:pPr>
        <w:pStyle w:val="1311"/>
        <w:ind w:firstLine="48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311"/>
        <w:ind w:firstLine="48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特此声明</w:t>
      </w:r>
      <w:r/>
    </w:p>
    <w:p>
      <w:pPr>
        <w:pStyle w:val="1311"/>
        <w:ind w:firstLine="48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311"/>
        <w:ind w:firstLine="48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我单位对上述声明的真实性负责，如有虚假，将依法承担相应责任。</w:t>
      </w:r>
      <w:r/>
    </w:p>
    <w:p>
      <w:pPr>
        <w:pStyle w:val="1311"/>
        <w:ind w:firstLine="48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311"/>
        <w:ind w:firstLine="48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jc w:val="right"/>
        <w:keepLines w:val="0"/>
        <w:keepNext w:val="0"/>
        <w:pageBreakBefore w:val="0"/>
        <w:spacing w:line="500" w:lineRule="exact"/>
        <w:widowControl w:val="off"/>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投标人名称（电子签章）： ____________                     </w:t>
      </w:r>
      <w:r/>
    </w:p>
    <w:p>
      <w:pPr>
        <w:ind w:firstLine="480"/>
        <w:jc w:val="center"/>
        <w:keepLines w:val="0"/>
        <w:keepNext w:val="0"/>
        <w:pageBreakBefore w:val="0"/>
        <w:spacing w:line="500" w:lineRule="exact"/>
        <w:widowControl w:val="off"/>
        <w:rPr>
          <w:rFonts w:hint="eastAsia" w:ascii="宋体" w:hAnsi="宋体" w:eastAsia="宋体" w:cs="宋体"/>
          <w:color w:val="000000" w:themeColor="text1"/>
          <w:highlight w:val="none"/>
          <w14:textFill>
            <w14:solidFill>
              <w14:schemeClr w14:val="tx1"/>
            </w14:solidFill>
          </w14:textFill>
        </w:rPr>
        <w:sectPr>
          <w:headerReference w:type="default" r:id="rId15"/>
          <w:footerReference w:type="default" r:id="rId26"/>
          <w:footnotePr/>
          <w:endnotePr/>
          <w:type w:val="nextPage"/>
          <w:pgSz w:w="11906" w:h="16838" w:orient="portrait"/>
          <w:pgMar w:top="1440" w:right="1466" w:bottom="1440" w:left="1560" w:header="851" w:footer="992" w:gutter="0"/>
          <w:cols w:num="1" w:sep="0" w:space="1701" w:equalWidth="1"/>
          <w:docGrid w:linePitch="360"/>
        </w:sectPr>
        <w:outlineLvl w:val="9"/>
      </w:pP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日  期：   年  月  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0"/>
        <w:jc w:val="center"/>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30"/>
          <w:szCs w:val="30"/>
          <w:highlight w:val="none"/>
          <w14:textFill>
            <w14:solidFill>
              <w14:schemeClr w14:val="tx1"/>
            </w14:solidFill>
          </w14:textFill>
        </w:rPr>
        <w:t xml:space="preserve">.投标人参加政府采购活动前3年内在经营活动中没有重大违法记录的书面声明</w:t>
      </w:r>
      <w:r/>
    </w:p>
    <w:p>
      <w:pPr>
        <w:ind w:firstLine="48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3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我单位在参加</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丰县云计算资源平台服务</w:t>
      </w:r>
      <w:r>
        <w:rPr>
          <w:rFonts w:hint="eastAsia" w:ascii="宋体" w:hAnsi="宋体" w:eastAsia="宋体" w:cs="宋体"/>
          <w:color w:val="000000" w:themeColor="text1"/>
          <w:highlight w:val="none"/>
          <w14:textFill>
            <w14:solidFill>
              <w14:schemeClr w14:val="tx1"/>
            </w14:solidFill>
          </w14:textFill>
        </w:rPr>
        <w:t xml:space="preserve">（项目编号：</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JSZC-320321-FXZX-G2026-0006</w:t>
      </w:r>
      <w:r>
        <w:rPr>
          <w:rFonts w:hint="eastAsia" w:ascii="宋体" w:hAnsi="宋体" w:eastAsia="宋体" w:cs="宋体"/>
          <w:color w:val="000000" w:themeColor="text1"/>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1413"/>
        <w:ind w:firstLine="480"/>
        <w:spacing w:line="360" w:lineRule="auto"/>
        <w:rPr>
          <w:rFonts w:hint="eastAsia" w:eastAsia="宋体"/>
          <w:color w:val="000000" w:themeColor="text1"/>
          <w:highlight w:val="none"/>
          <w14:textFill>
            <w14:solidFill>
              <w14:schemeClr w14:val="tx1"/>
            </w14:solidFill>
          </w14:textFill>
        </w:rPr>
      </w:pPr>
      <w:r>
        <w:rPr>
          <w:rFonts w:hint="eastAsia" w:eastAsia="宋体"/>
          <w:color w:val="000000" w:themeColor="text1"/>
          <w:highlight w:val="none"/>
          <w14:textFill>
            <w14:solidFill>
              <w14:schemeClr w14:val="tx1"/>
            </w14:solidFill>
          </w14:textFill>
        </w:rPr>
        <w:t xml:space="preserve">我单位对上述声明的真实性负责。如有虚假，将依法承担相应责任。</w:t>
      </w:r>
      <w:r/>
    </w:p>
    <w:p>
      <w:pPr>
        <w:ind w:firstLine="60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right"/>
        <w:keepLines w:val="0"/>
        <w:keepNext w:val="0"/>
        <w:pageBreakBefore w:val="0"/>
        <w:spacing w:line="500" w:lineRule="exact"/>
        <w:widowControl w:val="off"/>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投标人名称（电子签章）： ____________                     </w:t>
      </w:r>
      <w:r/>
    </w:p>
    <w:p>
      <w:pPr>
        <w:ind w:firstLine="480"/>
        <w:jc w:val="center"/>
        <w:keepLines w:val="0"/>
        <w:keepNext w:val="0"/>
        <w:pageBreakBefore w:val="0"/>
        <w:spacing w:line="500" w:lineRule="exact"/>
        <w:widowControl w:val="off"/>
        <w:rPr>
          <w:rFonts w:hint="eastAsia" w:ascii="宋体" w:hAnsi="宋体" w:eastAsia="宋体" w:cs="宋体"/>
          <w:color w:val="000000" w:themeColor="text1"/>
          <w:highlight w:val="none"/>
          <w14:textFill>
            <w14:solidFill>
              <w14:schemeClr w14:val="tx1"/>
            </w14:solidFill>
          </w14:textFill>
        </w:rPr>
        <w:sectPr>
          <w:headerReference w:type="default" r:id="rId16"/>
          <w:footerReference w:type="default" r:id="rId27"/>
          <w:footnotePr/>
          <w:endnotePr/>
          <w:type w:val="nextPage"/>
          <w:pgSz w:w="11906" w:h="16838" w:orient="portrait"/>
          <w:pgMar w:top="1440" w:right="1466" w:bottom="1440" w:left="1560" w:header="851" w:footer="992" w:gutter="0"/>
          <w:cols w:num="1" w:sep="0" w:space="1701" w:equalWidth="1"/>
          <w:docGrid w:linePitch="360"/>
        </w:sectPr>
        <w:outlineLvl w:val="9"/>
      </w:pP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日  期：   年  月  日</w:t>
      </w:r>
      <w:r/>
    </w:p>
    <w:p>
      <w:pPr>
        <w:rPr>
          <w:rFonts w:hint="eastAsia"/>
          <w:color w:val="000000" w:themeColor="text1"/>
          <w:highlight w:val="none"/>
          <w:lang w:val="en-US" w:eastAsia="zh-CN"/>
          <w14:textFill>
            <w14:solidFill>
              <w14:schemeClr w14:val="tx1"/>
            </w14:solidFill>
          </w14:textFill>
        </w:rPr>
      </w:pPr>
      <w:r/>
      <w:bookmarkStart w:id="76" w:name="_Toc27143_WPSOffice_Level1"/>
      <w:r/>
      <w:bookmarkStart w:id="77" w:name="_Toc2052"/>
      <w:r/>
      <w:bookmarkStart w:id="78" w:name="_Toc31537"/>
      <w:r/>
      <w:r/>
    </w:p>
    <w:p>
      <w:pPr>
        <w:jc w:val="center"/>
        <w:keepLines w:val="0"/>
        <w:keepNext w:val="0"/>
        <w:pageBreakBefore w:val="0"/>
        <w:spacing w:line="500" w:lineRule="exact"/>
        <w:widowControl w:val="off"/>
        <w:rPr>
          <w:rFonts w:hint="eastAsia" w:ascii="宋体" w:hAnsi="宋体" w:eastAsia="宋体" w:cs="宋体"/>
          <w:b/>
          <w:bCs/>
          <w:color w:val="000000" w:themeColor="text1"/>
          <w:sz w:val="30"/>
          <w:szCs w:val="30"/>
          <w:highlight w:val="none"/>
          <w14:textFill>
            <w14:solidFill>
              <w14:schemeClr w14:val="tx1"/>
            </w14:solidFill>
          </w14:textFill>
        </w:rPr>
        <w:outlineLvl w:val="9"/>
      </w:pPr>
      <w:r>
        <w:rPr>
          <w:rFonts w:hint="eastAsia" w:ascii="宋体" w:hAnsi="宋体" w:eastAsia="宋体" w:cs="宋体"/>
          <w:b/>
          <w:bCs/>
          <w:color w:val="000000" w:themeColor="text1"/>
          <w:sz w:val="30"/>
          <w:szCs w:val="30"/>
          <w:highlight w:val="none"/>
          <w:lang w:val="en-US" w:eastAsia="zh-CN"/>
          <w14:textFill>
            <w14:solidFill>
              <w14:schemeClr w14:val="tx1"/>
            </w14:solidFill>
          </w14:textFill>
        </w:rPr>
        <w:t xml:space="preserve">8</w:t>
      </w:r>
      <w:r>
        <w:rPr>
          <w:rFonts w:hint="eastAsia" w:ascii="宋体" w:hAnsi="宋体" w:eastAsia="宋体" w:cs="宋体"/>
          <w:b/>
          <w:bCs/>
          <w:color w:val="000000" w:themeColor="text1"/>
          <w:sz w:val="30"/>
          <w:szCs w:val="30"/>
          <w:highlight w:val="none"/>
          <w14:textFill>
            <w14:solidFill>
              <w14:schemeClr w14:val="tx1"/>
            </w14:solidFill>
          </w14:textFill>
        </w:rPr>
        <w:t xml:space="preserve">.投标人相关承诺</w:t>
      </w:r>
      <w:r/>
    </w:p>
    <w:p>
      <w:pPr>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p>
      <w:pPr>
        <w:ind w:firstLine="439"/>
        <w:rPr>
          <w:rFonts w:hint="eastAsia" w:ascii="宋体" w:hAnsi="宋体" w:eastAsia="宋体" w:cs="宋体"/>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丰县云计算资源平台服务</w:t>
      </w:r>
      <w:r/>
    </w:p>
    <w:p>
      <w:pPr>
        <w:ind w:firstLine="439"/>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JSZC-320321-FXZX-G2026-0006</w:t>
      </w:r>
      <w:r/>
    </w:p>
    <w:p>
      <w:pPr>
        <w:ind w:firstLine="584"/>
        <w:keepLines w:val="0"/>
        <w:keepNext w:val="0"/>
        <w:pageBreakBefore w:val="0"/>
        <w:spacing w:line="500" w:lineRule="exact"/>
        <w:widowControl w:val="off"/>
        <w:rPr>
          <w:rFonts w:hint="eastAsia" w:ascii="宋体" w:hAnsi="宋体" w:eastAsia="宋体" w:cs="宋体"/>
          <w:color w:val="000000" w:themeColor="text1"/>
          <w:spacing w:val="6"/>
          <w:sz w:val="24"/>
          <w:szCs w:val="24"/>
          <w:highlight w:val="none"/>
          <w14:textFill>
            <w14:solidFill>
              <w14:schemeClr w14:val="tx1"/>
            </w14:solidFill>
          </w14:textFill>
        </w:rPr>
        <w:outlineLvl w:val="9"/>
      </w:pPr>
      <w:r>
        <w:rPr>
          <w:rFonts w:hint="eastAsia" w:ascii="宋体" w:hAnsi="宋体" w:eastAsia="宋体" w:cs="宋体"/>
          <w:color w:val="000000" w:themeColor="text1"/>
          <w:spacing w:val="6"/>
          <w:sz w:val="24"/>
          <w:szCs w:val="24"/>
          <w:highlight w:val="none"/>
          <w14:textFill>
            <w14:solidFill>
              <w14:schemeClr w14:val="tx1"/>
            </w14:solidFill>
          </w14:textFill>
        </w:rPr>
      </w:r>
      <w:r/>
    </w:p>
    <w:p>
      <w:pPr>
        <w:ind w:firstLine="584"/>
        <w:keepLines w:val="0"/>
        <w:keepNext w:val="0"/>
        <w:pageBreakBefore w:val="0"/>
        <w:spacing w:line="500" w:lineRule="exact"/>
        <w:widowControl w:val="off"/>
        <w:rPr>
          <w:rFonts w:hint="eastAsia" w:ascii="宋体" w:hAnsi="宋体" w:eastAsia="宋体" w:cs="宋体"/>
          <w:color w:val="000000" w:themeColor="text1"/>
          <w:spacing w:val="6"/>
          <w:sz w:val="24"/>
          <w:szCs w:val="24"/>
          <w:highlight w:val="none"/>
          <w14:textFill>
            <w14:solidFill>
              <w14:schemeClr w14:val="tx1"/>
            </w14:solidFill>
          </w14:textFill>
        </w:rPr>
        <w:outlineLvl w:val="9"/>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我单位承诺：</w:t>
      </w:r>
      <w:r/>
    </w:p>
    <w:p>
      <w:pPr>
        <w:ind w:firstLine="584"/>
        <w:keepLines w:val="0"/>
        <w:keepNext w:val="0"/>
        <w:pageBreakBefore w:val="0"/>
        <w:spacing w:line="500" w:lineRule="exact"/>
        <w:widowControl w:val="off"/>
        <w:rPr>
          <w:rFonts w:hint="eastAsia" w:ascii="宋体" w:hAnsi="宋体" w:eastAsia="宋体" w:cs="宋体"/>
          <w:color w:val="000000" w:themeColor="text1"/>
          <w:spacing w:val="6"/>
          <w:sz w:val="24"/>
          <w:szCs w:val="24"/>
          <w:highlight w:val="none"/>
          <w14:textFill>
            <w14:solidFill>
              <w14:schemeClr w14:val="tx1"/>
            </w14:solidFill>
          </w14:textFill>
        </w:rPr>
        <w:outlineLvl w:val="9"/>
      </w:pPr>
      <w:r>
        <w:rPr>
          <w:rFonts w:hint="eastAsia" w:ascii="宋体" w:hAnsi="宋体" w:eastAsia="宋体" w:cs="宋体"/>
          <w:color w:val="000000" w:themeColor="text1"/>
          <w:spacing w:val="6"/>
          <w:sz w:val="24"/>
          <w:szCs w:val="24"/>
          <w:highlight w:val="none"/>
          <w14:textFill>
            <w14:solidFill>
              <w14:schemeClr w14:val="tx1"/>
            </w14:solidFill>
          </w14:textFill>
        </w:rPr>
        <w:t xml:space="preserve">如有参与同一合同项下政府采购活动的投标人与我单位存在负责人为同一人的情况或者存在直接控股、管理关系，我单位不再参加该同一合同项下的政府采购活动。</w:t>
      </w:r>
      <w:r/>
    </w:p>
    <w:p>
      <w:pPr>
        <w:ind w:firstLine="584"/>
        <w:keepLines w:val="0"/>
        <w:keepNext w:val="0"/>
        <w:pageBreakBefore w:val="0"/>
        <w:spacing w:line="500" w:lineRule="exact"/>
        <w:widowControl w:val="off"/>
        <w:rPr>
          <w:rFonts w:hint="eastAsia" w:ascii="宋体" w:hAnsi="宋体" w:eastAsia="宋体" w:cs="宋体"/>
          <w:color w:val="000000" w:themeColor="text1"/>
          <w:spacing w:val="6"/>
          <w:sz w:val="24"/>
          <w:szCs w:val="24"/>
          <w:highlight w:val="none"/>
          <w14:textFill>
            <w14:solidFill>
              <w14:schemeClr w14:val="tx1"/>
            </w14:solidFill>
          </w14:textFill>
        </w:rPr>
        <w:outlineLvl w:val="9"/>
      </w:pPr>
      <w:r>
        <w:rPr>
          <w:rFonts w:hint="eastAsia" w:ascii="宋体" w:hAnsi="宋体" w:eastAsia="宋体" w:cs="宋体"/>
          <w:color w:val="000000" w:themeColor="text1"/>
          <w:spacing w:val="6"/>
          <w:sz w:val="24"/>
          <w:szCs w:val="24"/>
          <w:highlight w:val="none"/>
          <w14:textFill>
            <w14:solidFill>
              <w14:schemeClr w14:val="tx1"/>
            </w14:solidFill>
          </w14:textFill>
        </w:rPr>
      </w:r>
      <w:r/>
    </w:p>
    <w:p>
      <w:pPr>
        <w:ind w:firstLine="584"/>
        <w:keepLines w:val="0"/>
        <w:keepNext w:val="0"/>
        <w:pageBreakBefore w:val="0"/>
        <w:spacing w:line="500" w:lineRule="exact"/>
        <w:widowControl w:val="off"/>
        <w:rPr>
          <w:rFonts w:hint="eastAsia" w:ascii="宋体" w:hAnsi="宋体" w:eastAsia="宋体" w:cs="宋体"/>
          <w:color w:val="000000" w:themeColor="text1"/>
          <w:spacing w:val="6"/>
          <w:sz w:val="24"/>
          <w:szCs w:val="24"/>
          <w:highlight w:val="none"/>
          <w14:textFill>
            <w14:solidFill>
              <w14:schemeClr w14:val="tx1"/>
            </w14:solidFill>
          </w14:textFill>
        </w:rPr>
        <w:outlineLvl w:val="9"/>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我单位对上述承诺负责，并依法承担相应责任。</w:t>
      </w:r>
      <w:r/>
    </w:p>
    <w:p>
      <w:pPr>
        <w:ind w:firstLine="300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p>
      <w:pPr>
        <w:pStyle w:val="1137"/>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p>
      <w:pPr>
        <w:pStyle w:val="1137"/>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p>
      <w:pPr>
        <w:pStyle w:val="1137"/>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p>
      <w:pPr>
        <w:jc w:val="right"/>
        <w:keepLines w:val="0"/>
        <w:keepNext w:val="0"/>
        <w:pageBreakBefore w:val="0"/>
        <w:spacing w:line="500" w:lineRule="exact"/>
        <w:widowControl w:val="off"/>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投标人名称（电子签章）： ____________                     </w:t>
      </w:r>
      <w:r/>
    </w:p>
    <w:p>
      <w:pPr>
        <w:ind w:firstLine="480"/>
        <w:jc w:val="center"/>
        <w:keepLines w:val="0"/>
        <w:keepNext w:val="0"/>
        <w:pageBreakBefore w:val="0"/>
        <w:spacing w:line="500" w:lineRule="exact"/>
        <w:widowControl w:val="off"/>
        <w:rPr>
          <w:rFonts w:hint="eastAsia" w:ascii="宋体" w:hAnsi="宋体" w:eastAsia="宋体" w:cs="宋体"/>
          <w:color w:val="000000" w:themeColor="text1"/>
          <w:highlight w:val="none"/>
          <w14:textFill>
            <w14:solidFill>
              <w14:schemeClr w14:val="tx1"/>
            </w14:solidFill>
          </w14:textFill>
        </w:rPr>
        <w:sectPr>
          <w:headerReference w:type="default" r:id="rId17"/>
          <w:footerReference w:type="default" r:id="rId28"/>
          <w:footnotePr/>
          <w:endnotePr/>
          <w:type w:val="nextPage"/>
          <w:pgSz w:w="11906" w:h="16838" w:orient="portrait"/>
          <w:pgMar w:top="1440" w:right="1466" w:bottom="1440" w:left="1560" w:header="851" w:footer="992" w:gutter="0"/>
          <w:cols w:num="1" w:sep="0" w:space="1701" w:equalWidth="1"/>
          <w:docGrid w:linePitch="360"/>
        </w:sectPr>
        <w:outlineLvl w:val="9"/>
      </w:pP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日  期：   年  月  日</w:t>
      </w:r>
      <w:r/>
    </w:p>
    <w:p>
      <w:pPr>
        <w:jc w:val="center"/>
        <w:pageBreakBefore w:val="0"/>
        <w:spacing w:line="500" w:lineRule="exact"/>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r>
      <w:r/>
    </w:p>
    <w:p>
      <w:pPr>
        <w:jc w:val="center"/>
        <w:pageBreakBefore w:val="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30"/>
          <w:szCs w:val="30"/>
          <w:highlight w:val="none"/>
          <w:lang w:val="en-US" w:eastAsia="zh-CN"/>
          <w14:textFill>
            <w14:solidFill>
              <w14:schemeClr w14:val="tx1"/>
            </w14:solidFill>
          </w14:textFill>
        </w:rPr>
        <w:t xml:space="preserve">9.</w:t>
      </w:r>
      <w:r>
        <w:rPr>
          <w:rFonts w:hint="eastAsia" w:ascii="宋体" w:hAnsi="宋体" w:eastAsia="宋体" w:cs="宋体"/>
          <w:b/>
          <w:bCs/>
          <w:color w:val="000000" w:themeColor="text1"/>
          <w:sz w:val="30"/>
          <w:szCs w:val="30"/>
          <w:highlight w:val="none"/>
          <w14:textFill>
            <w14:solidFill>
              <w14:schemeClr w14:val="tx1"/>
            </w14:solidFill>
          </w14:textFill>
        </w:rPr>
        <w:t xml:space="preserve">投标人书面声明</w:t>
      </w:r>
      <w:r/>
    </w:p>
    <w:p>
      <w:pPr>
        <w:pageBreakBefore w:val="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39"/>
        <w:rPr>
          <w:rFonts w:hint="eastAsia" w:ascii="宋体" w:hAnsi="宋体" w:eastAsia="宋体" w:cs="宋体"/>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丰县云计算资源平台服务</w:t>
      </w:r>
      <w:r/>
    </w:p>
    <w:p>
      <w:pPr>
        <w:ind w:firstLine="439"/>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JSZC-320321-FXZX-G2026-0006</w:t>
      </w:r>
      <w:r/>
    </w:p>
    <w:p>
      <w:pPr>
        <w:ind w:firstLine="480"/>
        <w:jc w:val="left"/>
        <w:pageBreakBefore w:val="0"/>
        <w:spacing w:line="5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584"/>
        <w:pageBreakBefore w:val="0"/>
        <w:spacing w:line="500" w:lineRule="exac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我单位不是为本采购项目提供整体设计、规范编制或者项目管理、监理、检测等服务的供应商。</w:t>
      </w:r>
      <w:r/>
    </w:p>
    <w:p>
      <w:pPr>
        <w:ind w:firstLine="584"/>
        <w:pageBreakBefore w:val="0"/>
        <w:spacing w:line="500" w:lineRule="exac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特此声明。</w:t>
      </w:r>
      <w:r/>
    </w:p>
    <w:p>
      <w:pPr>
        <w:ind w:firstLine="584"/>
        <w:pageBreakBefore w:val="0"/>
        <w:spacing w:line="500" w:lineRule="exac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我单位对上述声明的真实性负责。如有虚假，将依法承担相应责任。</w:t>
      </w:r>
      <w:r/>
    </w:p>
    <w:p>
      <w:pPr>
        <w:pageBreakBefore w:val="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3000"/>
        <w:pageBreakBefore w:val="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137"/>
        <w:pageBreakBefore w:val="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137"/>
        <w:pageBreakBefore w:val="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right"/>
        <w:keepLines w:val="0"/>
        <w:keepNext w:val="0"/>
        <w:pageBreakBefore w:val="0"/>
        <w:spacing w:line="500" w:lineRule="exact"/>
        <w:widowControl w:val="off"/>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投标人名称（电子签章）： ____________                     </w:t>
      </w:r>
      <w:r/>
    </w:p>
    <w:p>
      <w:pPr>
        <w:ind w:firstLine="480"/>
        <w:jc w:val="center"/>
        <w:keepLines w:val="0"/>
        <w:keepNext w:val="0"/>
        <w:pageBreakBefore w:val="0"/>
        <w:spacing w:line="500" w:lineRule="exact"/>
        <w:widowControl w:val="off"/>
        <w:rPr>
          <w:rFonts w:hint="eastAsia" w:ascii="宋体" w:hAnsi="宋体" w:eastAsia="宋体" w:cs="宋体"/>
          <w:color w:val="000000" w:themeColor="text1"/>
          <w:highlight w:val="none"/>
          <w:lang w:val="en-US" w:eastAsia="zh-CN"/>
          <w14:textFill>
            <w14:solidFill>
              <w14:schemeClr w14:val="tx1"/>
            </w14:solidFill>
          </w14:textFill>
        </w:rPr>
        <w:outlineLvl w:val="9"/>
      </w:pP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日  期：   年  月 </w:t>
      </w:r>
      <w:r>
        <w:rPr>
          <w:rFonts w:hint="eastAsia" w:ascii="宋体" w:hAnsi="宋体" w:eastAsia="宋体" w:cs="宋体"/>
          <w:color w:val="000000" w:themeColor="text1"/>
          <w:highlight w:val="none"/>
          <w:lang w:val="en-US" w:eastAsia="zh-CN"/>
          <w14:textFill>
            <w14:solidFill>
              <w14:schemeClr w14:val="tx1"/>
            </w14:solidFill>
          </w14:textFill>
        </w:rPr>
        <w:t xml:space="preserve">日</w:t>
      </w:r>
      <w:r/>
    </w:p>
    <w:p>
      <w:pPr>
        <w:pStyle w:val="1111"/>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r>
      <w:r/>
    </w:p>
    <w:p>
      <w:pP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r>
      <w:r/>
    </w:p>
    <w:p>
      <w:pPr>
        <w:jc w:val="center"/>
        <w:rPr>
          <w:rFonts w:hint="eastAsia" w:ascii="宋体" w:hAnsi="宋体" w:eastAsia="宋体" w:cs="宋体"/>
          <w:b/>
          <w:bCs/>
          <w:color w:val="000000" w:themeColor="text1"/>
          <w:sz w:val="32"/>
          <w:szCs w:val="32"/>
          <w:highlight w:val="non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lang w:val="en-US" w:eastAsia="zh-CN"/>
          <w14:textFill>
            <w14:solidFill>
              <w14:schemeClr w14:val="tx1"/>
            </w14:solidFill>
          </w14:textFill>
        </w:rPr>
      </w:r>
      <w:r/>
    </w:p>
    <w:p>
      <w:pPr>
        <w:jc w:val="center"/>
        <w:rPr>
          <w:rFonts w:hint="eastAsia" w:ascii="宋体" w:hAnsi="宋体" w:eastAsia="宋体" w:cs="宋体"/>
          <w:b/>
          <w:bCs/>
          <w:color w:val="000000" w:themeColor="text1"/>
          <w:sz w:val="32"/>
          <w:szCs w:val="32"/>
          <w:highlight w:val="non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lang w:val="en-US" w:eastAsia="zh-CN"/>
          <w14:textFill>
            <w14:solidFill>
              <w14:schemeClr w14:val="tx1"/>
            </w14:solidFill>
          </w14:textFill>
        </w:rPr>
      </w:r>
      <w:r/>
    </w:p>
    <w:p>
      <w:pPr>
        <w:jc w:val="center"/>
        <w:rPr>
          <w:rFonts w:hint="eastAsia" w:ascii="宋体" w:hAnsi="宋体" w:eastAsia="宋体" w:cs="宋体"/>
          <w:b/>
          <w:bCs/>
          <w:color w:val="000000" w:themeColor="text1"/>
          <w:sz w:val="32"/>
          <w:szCs w:val="32"/>
          <w:highlight w:val="non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lang w:val="en-US" w:eastAsia="zh-CN"/>
          <w14:textFill>
            <w14:solidFill>
              <w14:schemeClr w14:val="tx1"/>
            </w14:solidFill>
          </w14:textFill>
        </w:rPr>
      </w:r>
      <w:r/>
    </w:p>
    <w:p>
      <w:pPr>
        <w:jc w:val="center"/>
        <w:rPr>
          <w:rFonts w:hint="eastAsia" w:ascii="宋体" w:hAnsi="宋体" w:eastAsia="宋体" w:cs="宋体"/>
          <w:b/>
          <w:bCs/>
          <w:color w:val="000000" w:themeColor="text1"/>
          <w:sz w:val="32"/>
          <w:szCs w:val="32"/>
          <w:highlight w:val="non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lang w:val="en-US" w:eastAsia="zh-CN"/>
          <w14:textFill>
            <w14:solidFill>
              <w14:schemeClr w14:val="tx1"/>
            </w14:solidFill>
          </w14:textFill>
        </w:rPr>
      </w:r>
      <w:r/>
    </w:p>
    <w:p>
      <w:pPr>
        <w:jc w:val="center"/>
        <w:rPr>
          <w:rFonts w:hint="eastAsia" w:ascii="宋体" w:hAnsi="宋体" w:eastAsia="宋体" w:cs="宋体"/>
          <w:b/>
          <w:bCs/>
          <w:color w:val="000000" w:themeColor="text1"/>
          <w:sz w:val="32"/>
          <w:szCs w:val="32"/>
          <w:highlight w:val="non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lang w:val="en-US" w:eastAsia="zh-CN"/>
          <w14:textFill>
            <w14:solidFill>
              <w14:schemeClr w14:val="tx1"/>
            </w14:solidFill>
          </w14:textFill>
        </w:rPr>
      </w:r>
      <w:r/>
    </w:p>
    <w:p>
      <w:pPr>
        <w:jc w:val="center"/>
        <w:rPr>
          <w:rFonts w:hint="eastAsia" w:ascii="宋体" w:hAnsi="宋体" w:eastAsia="宋体" w:cs="宋体"/>
          <w:b/>
          <w:bCs/>
          <w:color w:val="000000" w:themeColor="text1"/>
          <w:sz w:val="32"/>
          <w:szCs w:val="32"/>
          <w:highlight w:val="non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lang w:val="en-US" w:eastAsia="zh-CN"/>
          <w14:textFill>
            <w14:solidFill>
              <w14:schemeClr w14:val="tx1"/>
            </w14:solidFill>
          </w14:textFill>
        </w:rPr>
      </w:r>
      <w:r/>
    </w:p>
    <w:p>
      <w:pPr>
        <w:pStyle w:val="1106"/>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jc w:val="center"/>
        <w:rPr>
          <w:rFonts w:hint="eastAsia" w:ascii="宋体" w:hAnsi="宋体" w:eastAsia="宋体" w:cs="宋体"/>
          <w:b/>
          <w:bCs/>
          <w:color w:val="000000" w:themeColor="text1"/>
          <w:sz w:val="32"/>
          <w:szCs w:val="32"/>
          <w:highlight w:val="non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lang w:val="en-US" w:eastAsia="zh-CN"/>
          <w14:textFill>
            <w14:solidFill>
              <w14:schemeClr w14:val="tx1"/>
            </w14:solidFill>
          </w14:textFill>
        </w:rPr>
      </w:r>
      <w:r/>
    </w:p>
    <w:p>
      <w:pPr>
        <w:jc w:val="center"/>
        <w:rPr>
          <w:rFonts w:hint="eastAsia" w:ascii="宋体" w:hAnsi="宋体" w:eastAsia="宋体" w:cs="宋体"/>
          <w:b/>
          <w:bCs/>
          <w:color w:val="000000" w:themeColor="text1"/>
          <w:sz w:val="32"/>
          <w:szCs w:val="32"/>
          <w:highlight w:val="non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lang w:val="en-US" w:eastAsia="zh-CN"/>
          <w14:textFill>
            <w14:solidFill>
              <w14:schemeClr w14:val="tx1"/>
            </w14:solidFill>
          </w14:textFill>
        </w:rPr>
      </w:r>
      <w:r/>
    </w:p>
    <w:p>
      <w:pPr>
        <w:jc w:val="center"/>
        <w:rPr>
          <w:rFonts w:hint="eastAsia" w:ascii="宋体" w:hAnsi="宋体" w:eastAsia="宋体" w:cs="宋体"/>
          <w:b/>
          <w:bCs/>
          <w:color w:val="000000" w:themeColor="text1"/>
          <w:sz w:val="32"/>
          <w:szCs w:val="32"/>
          <w:highlight w:val="non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lang w:val="en-US" w:eastAsia="zh-CN"/>
          <w14:textFill>
            <w14:solidFill>
              <w14:schemeClr w14:val="tx1"/>
            </w14:solidFill>
          </w14:textFill>
        </w:rPr>
      </w:r>
      <w:r/>
    </w:p>
    <w:p>
      <w:pPr>
        <w:jc w:val="center"/>
        <w:rPr>
          <w:rFonts w:hint="eastAsia" w:ascii="宋体" w:hAnsi="宋体" w:eastAsia="宋体" w:cs="宋体"/>
          <w:b/>
          <w:bCs/>
          <w:color w:val="000000" w:themeColor="text1"/>
          <w:sz w:val="32"/>
          <w:szCs w:val="32"/>
          <w:highlight w:val="non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lang w:val="en-US" w:eastAsia="zh-CN"/>
          <w14:textFill>
            <w14:solidFill>
              <w14:schemeClr w14:val="tx1"/>
            </w14:solidFill>
          </w14:textFill>
        </w:rPr>
      </w:r>
      <w:r/>
    </w:p>
    <w:p>
      <w:pPr>
        <w:jc w:val="cente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10</w:t>
      </w:r>
      <w:r>
        <w:rPr>
          <w:rFonts w:hint="eastAsia" w:ascii="宋体" w:hAnsi="宋体" w:eastAsia="宋体" w:cs="宋体"/>
          <w:b/>
          <w:bCs/>
          <w:color w:val="000000" w:themeColor="text1"/>
          <w:sz w:val="32"/>
          <w:szCs w:val="32"/>
          <w:highlight w:val="none"/>
          <w14:textFill>
            <w14:solidFill>
              <w14:schemeClr w14:val="tx1"/>
            </w14:solidFill>
          </w14:textFill>
        </w:rPr>
        <w:t xml:space="preserve">.采购需求符合性条件响应表</w:t>
      </w:r>
      <w:r/>
    </w:p>
    <w:p>
      <w:pPr>
        <w:ind w:left="0" w:firstLine="0"/>
        <w:rPr>
          <w:rFonts w:hint="eastAsia"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r>
      <w:r/>
    </w:p>
    <w:p>
      <w:pPr>
        <w:ind w:left="0" w:firstLine="0"/>
        <w:rPr>
          <w:rFonts w:hint="eastAsia"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r>
      <w:r/>
    </w:p>
    <w:p>
      <w:pPr>
        <w:ind w:left="0" w:firstLine="0"/>
        <w:rPr>
          <w:rFonts w:hint="eastAsia" w:ascii="宋体" w:hAnsi="宋体" w:eastAsia="宋体" w:cs="宋体"/>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丰县云计算资源平台服务</w:t>
      </w:r>
      <w:r/>
    </w:p>
    <w:p>
      <w:pPr>
        <w:ind w:left="0" w:firstLine="0"/>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JSZC-320321-FXZX-G2026-0006</w:t>
      </w:r>
      <w:r/>
    </w:p>
    <w:tbl>
      <w:tblPr>
        <w:tblStyle w:val="1105"/>
        <w:tblW w:w="9120" w:type="dxa"/>
        <w:tblInd w:w="-3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44"/>
        <w:gridCol w:w="2804"/>
        <w:gridCol w:w="2104"/>
        <w:gridCol w:w="2328"/>
        <w:gridCol w:w="1140"/>
      </w:tblGrid>
      <w:tr>
        <w:trPr>
          <w:trHeight w:val="794"/>
        </w:trPr>
        <w:tc>
          <w:tcPr>
            <w:tcW w:w="74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aps/>
                <w:color w:val="000000" w:themeColor="text1"/>
                <w:sz w:val="24"/>
                <w:szCs w:val="24"/>
                <w:highlight w:val="none"/>
                <w14:textFill>
                  <w14:solidFill>
                    <w14:schemeClr w14:val="tx1"/>
                  </w14:solidFill>
                </w14:textFill>
              </w:rPr>
              <w:outlineLvl w:val="9"/>
            </w:pPr>
            <w:r>
              <w:rPr>
                <w:rFonts w:hint="eastAsia" w:ascii="宋体" w:hAnsi="宋体" w:eastAsia="宋体" w:cs="宋体"/>
                <w:caps/>
                <w:color w:val="000000" w:themeColor="text1"/>
                <w:sz w:val="24"/>
                <w:szCs w:val="24"/>
                <w:highlight w:val="none"/>
                <w14:textFill>
                  <w14:solidFill>
                    <w14:schemeClr w14:val="tx1"/>
                  </w14:solidFill>
                </w14:textFill>
              </w:rPr>
              <w:t xml:space="preserve">序号</w:t>
            </w:r>
            <w:r/>
          </w:p>
        </w:tc>
        <w:tc>
          <w:tcPr>
            <w:tcW w:w="280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aps/>
                <w:color w:val="000000" w:themeColor="text1"/>
                <w:sz w:val="24"/>
                <w:szCs w:val="24"/>
                <w:highlight w:val="none"/>
                <w14:textFill>
                  <w14:solidFill>
                    <w14:schemeClr w14:val="tx1"/>
                  </w14:solidFill>
                </w14:textFill>
              </w:rPr>
              <w:outlineLvl w:val="9"/>
            </w:pPr>
            <w:r>
              <w:rPr>
                <w:rFonts w:hint="eastAsia" w:ascii="宋体" w:hAnsi="宋体" w:eastAsia="宋体" w:cs="宋体"/>
                <w:caps/>
                <w:color w:val="000000" w:themeColor="text1"/>
                <w:sz w:val="24"/>
                <w:szCs w:val="24"/>
                <w:highlight w:val="none"/>
                <w14:textFill>
                  <w14:solidFill>
                    <w14:schemeClr w14:val="tx1"/>
                  </w14:solidFill>
                </w14:textFill>
              </w:rPr>
              <w:t xml:space="preserve">采购需求符合性条件</w:t>
            </w:r>
            <w:r/>
          </w:p>
        </w:tc>
        <w:tc>
          <w:tcPr>
            <w:tcW w:w="210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aps/>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招标文件的要求</w:t>
            </w:r>
            <w:r/>
          </w:p>
        </w:tc>
        <w:tc>
          <w:tcPr>
            <w:tcW w:w="232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aps/>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投标文件中的响应情况</w:t>
            </w:r>
            <w:r>
              <w:rPr>
                <w:rFonts w:hint="eastAsia" w:ascii="宋体" w:hAnsi="宋体" w:eastAsia="宋体" w:cs="宋体"/>
                <w:caps/>
                <w:color w:val="000000" w:themeColor="text1"/>
                <w:sz w:val="24"/>
                <w:szCs w:val="24"/>
                <w:highlight w:val="none"/>
                <w14:textFill>
                  <w14:solidFill>
                    <w14:schemeClr w14:val="tx1"/>
                  </w14:solidFill>
                </w14:textFill>
              </w:rPr>
              <w:t xml:space="preserve">（完全响应/未完全响应）</w:t>
            </w:r>
            <w:r/>
          </w:p>
        </w:tc>
        <w:tc>
          <w:tcPr>
            <w:tcW w:w="114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aps/>
                <w:color w:val="000000" w:themeColor="text1"/>
                <w:sz w:val="24"/>
                <w:szCs w:val="24"/>
                <w:highlight w:val="none"/>
                <w14:textFill>
                  <w14:solidFill>
                    <w14:schemeClr w14:val="tx1"/>
                  </w14:solidFill>
                </w14:textFill>
              </w:rPr>
              <w:outlineLvl w:val="9"/>
            </w:pPr>
            <w:r>
              <w:rPr>
                <w:rFonts w:hint="eastAsia" w:ascii="宋体" w:hAnsi="宋体" w:eastAsia="宋体" w:cs="宋体"/>
                <w:caps/>
                <w:color w:val="000000" w:themeColor="text1"/>
                <w:sz w:val="24"/>
                <w:szCs w:val="24"/>
                <w:highlight w:val="none"/>
                <w14:textFill>
                  <w14:solidFill>
                    <w14:schemeClr w14:val="tx1"/>
                  </w14:solidFill>
                </w14:textFill>
              </w:rPr>
              <w:t xml:space="preserve">说明</w:t>
            </w:r>
            <w:r/>
          </w:p>
        </w:tc>
      </w:tr>
      <w:tr>
        <w:trPr>
          <w:trHeight w:val="794"/>
        </w:trPr>
        <w:tc>
          <w:tcPr>
            <w:tcW w:w="74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2804" w:type="dxa"/>
            <w:vAlign w:val="center"/>
            <w:textDirection w:val="lrTb"/>
            <w:noWrap w:val="false"/>
          </w:tcPr>
          <w:p>
            <w:pPr>
              <w:ind w:left="0" w:firstLine="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关于</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核心服务内容</w:t>
            </w:r>
            <w:r>
              <w:rPr>
                <w:rFonts w:hint="eastAsia" w:ascii="宋体" w:hAnsi="宋体" w:eastAsia="宋体" w:cs="宋体"/>
                <w:color w:val="000000" w:themeColor="text1"/>
                <w:sz w:val="24"/>
                <w:szCs w:val="24"/>
                <w:highlight w:val="none"/>
                <w14:textFill>
                  <w14:solidFill>
                    <w14:schemeClr w14:val="tx1"/>
                  </w14:solidFill>
                </w14:textFill>
              </w:rPr>
              <w:t xml:space="preserve">”的响应情况</w:t>
            </w:r>
            <w:r/>
          </w:p>
        </w:tc>
        <w:tc>
          <w:tcPr>
            <w:tcW w:w="2104" w:type="dxa"/>
            <w:vAlign w:val="center"/>
            <w:textDirection w:val="lrTb"/>
            <w:noWrap w:val="false"/>
          </w:tcPr>
          <w:p>
            <w:pPr>
              <w:ind w:firstLine="20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见招标文件第六章《采购需求》中相关要求</w:t>
            </w:r>
            <w:r/>
          </w:p>
        </w:tc>
        <w:tc>
          <w:tcPr>
            <w:tcW w:w="232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tcW w:w="114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794"/>
        </w:trPr>
        <w:tc>
          <w:tcPr>
            <w:tcW w:w="74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2804" w:type="dxa"/>
            <w:vAlign w:val="center"/>
            <w:textDirection w:val="lrTb"/>
            <w:noWrap w:val="false"/>
          </w:tcPr>
          <w:p>
            <w:pPr>
              <w:ind w:left="0" w:firstLine="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关于</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“实施团队”中人员数量要求</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的响应情况</w:t>
            </w:r>
            <w:r/>
          </w:p>
        </w:tc>
        <w:tc>
          <w:tcPr>
            <w:tcW w:w="2104" w:type="dxa"/>
            <w:vAlign w:val="center"/>
            <w:textDirection w:val="lrTb"/>
            <w:noWrap w:val="false"/>
          </w:tcPr>
          <w:p>
            <w:pPr>
              <w:ind w:firstLine="20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见招标文件第六章《采购需求》中相关要求</w:t>
            </w:r>
            <w:r/>
          </w:p>
        </w:tc>
        <w:tc>
          <w:tcPr>
            <w:tcW w:w="232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tcW w:w="114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794"/>
        </w:trPr>
        <w:tc>
          <w:tcPr>
            <w:tcW w:w="74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2804" w:type="dxa"/>
            <w:vAlign w:val="center"/>
            <w:textDirection w:val="lrTb"/>
            <w:noWrap w:val="false"/>
          </w:tcPr>
          <w:p>
            <w:pPr>
              <w:ind w:left="0" w:firstLine="0"/>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关于</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“项目服务期限”的响应情况</w:t>
            </w:r>
            <w:r/>
          </w:p>
        </w:tc>
        <w:tc>
          <w:tcPr>
            <w:tcW w:w="2104" w:type="dxa"/>
            <w:vAlign w:val="center"/>
            <w:textDirection w:val="lrTb"/>
            <w:noWrap w:val="false"/>
          </w:tcPr>
          <w:p>
            <w:pPr>
              <w:ind w:firstLine="20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见招标文件第六章《采购需求》中相关要求</w:t>
            </w:r>
            <w:r/>
          </w:p>
        </w:tc>
        <w:tc>
          <w:tcPr>
            <w:tcW w:w="232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tcW w:w="114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794"/>
        </w:trPr>
        <w:tc>
          <w:tcPr>
            <w:tcW w:w="74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W w:w="2804" w:type="dxa"/>
            <w:vAlign w:val="center"/>
            <w:textDirection w:val="lrTb"/>
            <w:noWrap w:val="false"/>
          </w:tcPr>
          <w:p>
            <w:pPr>
              <w:ind w:left="0" w:firstLine="0"/>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关于</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“付款方式” 的响应情况</w:t>
            </w:r>
            <w:r/>
          </w:p>
        </w:tc>
        <w:tc>
          <w:tcPr>
            <w:tcW w:w="2104" w:type="dxa"/>
            <w:vAlign w:val="center"/>
            <w:textDirection w:val="lrTb"/>
            <w:noWrap w:val="false"/>
          </w:tcPr>
          <w:p>
            <w:pPr>
              <w:ind w:firstLine="20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见招标文件第六章《采购需求》中相关要求</w:t>
            </w:r>
            <w:r/>
          </w:p>
        </w:tc>
        <w:tc>
          <w:tcPr>
            <w:tcW w:w="232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tcW w:w="114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794"/>
        </w:trPr>
        <w:tc>
          <w:tcPr>
            <w:tcW w:w="74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p>
        </w:tc>
        <w:tc>
          <w:tcPr>
            <w:tcW w:w="2804" w:type="dxa"/>
            <w:vAlign w:val="center"/>
            <w:textDirection w:val="lrTb"/>
            <w:noWrap w:val="false"/>
          </w:tcPr>
          <w:p>
            <w:pPr>
              <w:ind w:left="0" w:firstLine="0"/>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关于</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“关于投标报价的相关说明”的响应情况</w:t>
            </w:r>
            <w:r/>
          </w:p>
        </w:tc>
        <w:tc>
          <w:tcPr>
            <w:tcW w:w="2104" w:type="dxa"/>
            <w:vAlign w:val="center"/>
            <w:textDirection w:val="lrTb"/>
            <w:noWrap w:val="false"/>
          </w:tcPr>
          <w:p>
            <w:pPr>
              <w:ind w:firstLine="20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见招标文件第六章《采购需求》中相关要求</w:t>
            </w:r>
            <w:r/>
          </w:p>
        </w:tc>
        <w:tc>
          <w:tcPr>
            <w:tcW w:w="232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c>
          <w:tcPr>
            <w:tcW w:w="114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w:t>
      </w:r>
      <w:r/>
    </w:p>
    <w:p>
      <w:pPr>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1.上表</w:t>
      </w:r>
      <w:r>
        <w:rPr>
          <w:rFonts w:hint="eastAsia" w:ascii="宋体" w:hAnsi="宋体" w:eastAsia="宋体" w:cs="宋体"/>
          <w:b/>
          <w:color w:val="000000" w:themeColor="text1"/>
          <w:sz w:val="24"/>
          <w:highlight w:val="none"/>
          <w:u w:val="single"/>
          <w14:textFill>
            <w14:solidFill>
              <w14:schemeClr w14:val="tx1"/>
            </w14:solidFill>
          </w14:textFill>
        </w:rPr>
        <w:t xml:space="preserve">响应情况栏为必填内容</w:t>
      </w:r>
      <w:r>
        <w:rPr>
          <w:rFonts w:hint="eastAsia" w:ascii="宋体" w:hAnsi="宋体" w:eastAsia="宋体" w:cs="宋体"/>
          <w:color w:val="000000" w:themeColor="text1"/>
          <w:sz w:val="24"/>
          <w:highlight w:val="none"/>
          <w:u w:val="single"/>
          <w14:textFill>
            <w14:solidFill>
              <w14:schemeClr w14:val="tx1"/>
            </w14:solidFill>
          </w14:textFill>
        </w:rPr>
        <w:t xml:space="preserve">，说明栏为选填内容。</w:t>
      </w:r>
      <w:r/>
    </w:p>
    <w:p>
      <w:pPr>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2.</w:t>
      </w:r>
      <w:r>
        <w:rPr>
          <w:rFonts w:hint="eastAsia" w:ascii="宋体" w:hAnsi="宋体" w:eastAsia="宋体" w:cs="宋体"/>
          <w:b/>
          <w:color w:val="000000" w:themeColor="text1"/>
          <w:sz w:val="24"/>
          <w:highlight w:val="none"/>
          <w:u w:val="single"/>
          <w14:textFill>
            <w14:solidFill>
              <w14:schemeClr w14:val="tx1"/>
            </w14:solidFill>
          </w14:textFill>
        </w:rPr>
        <w:t xml:space="preserve">如响应情况栏未填写或填写“未完全响应”，在符合性审查时均按照投标无效处理。</w:t>
      </w:r>
      <w:r/>
    </w:p>
    <w:p>
      <w:pPr>
        <w:rPr>
          <w:rFonts w:hint="eastAsia" w:ascii="宋体" w:hAnsi="宋体" w:eastAsia="宋体" w:cs="宋体"/>
          <w:color w:val="000000" w:themeColor="text1"/>
          <w:sz w:val="24"/>
          <w:highlight w:val="none"/>
          <w:u w:val="none"/>
          <w14:textFill>
            <w14:solidFill>
              <w14:schemeClr w14:val="tx1"/>
            </w14:solidFill>
          </w14:textFill>
        </w:rPr>
      </w:pPr>
      <w:r>
        <w:rPr>
          <w:rFonts w:hint="eastAsia" w:ascii="宋体" w:hAnsi="宋体" w:eastAsia="宋体" w:cs="宋体"/>
          <w:color w:val="000000" w:themeColor="text1"/>
          <w:sz w:val="24"/>
          <w:highlight w:val="none"/>
          <w:u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31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pStyle w:val="1111"/>
        <w:rPr>
          <w:rFonts w:hint="eastAsia"/>
          <w:color w:val="000000" w:themeColor="text1"/>
          <w:highlight w:val="none"/>
          <w:lang w:val="en-US" w:eastAsia="zh-CN"/>
          <w14:textFill>
            <w14:solidFill>
              <w14:schemeClr w14:val="tx1"/>
            </w14:solidFill>
          </w14:textFill>
        </w:rPr>
        <w:sectPr>
          <w:headerReference w:type="default" r:id="rId18"/>
          <w:footerReference w:type="default" r:id="rId29"/>
          <w:footnotePr/>
          <w:endnotePr/>
          <w:type w:val="nextPage"/>
          <w:pgSz w:w="11906" w:h="16838" w:orient="portrait"/>
          <w:pgMar w:top="1440" w:right="1466" w:bottom="1440" w:left="1560" w:header="851" w:footer="992" w:gutter="0"/>
          <w:cols w:num="1" w:sep="0" w:space="1701" w:equalWidth="1"/>
          <w:docGrid w:linePitch="360"/>
        </w:sectPr>
      </w:pPr>
      <w:r>
        <w:rPr>
          <w:rFonts w:hint="eastAsia"/>
          <w:color w:val="000000" w:themeColor="text1"/>
          <w:highlight w:val="none"/>
          <w:lang w:val="en-US" w:eastAsia="zh-CN"/>
          <w14:textFill>
            <w14:solidFill>
              <w14:schemeClr w14:val="tx1"/>
            </w14:solidFill>
          </w14:textFill>
        </w:rPr>
      </w:r>
      <w:r/>
    </w:p>
    <w:p>
      <w:pPr>
        <w:pStyle w:val="1296"/>
        <w:ind w:left="0" w:firstLine="0"/>
        <w:jc w:val="center"/>
        <w:tabs>
          <w:tab w:val="left" w:pos="1260"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11</w:t>
      </w:r>
      <w:r>
        <w:rPr>
          <w:rFonts w:hint="eastAsia" w:ascii="宋体" w:hAnsi="宋体" w:cs="宋体"/>
          <w:color w:val="000000" w:themeColor="text1"/>
          <w:highlight w:val="none"/>
          <w14:textFill>
            <w14:solidFill>
              <w14:schemeClr w14:val="tx1"/>
            </w14:solidFill>
          </w14:textFill>
        </w:rPr>
        <w:t xml:space="preserve">.投标人基本情况表</w:t>
      </w:r>
      <w:bookmarkEnd w:id="76"/>
      <w:r/>
      <w:bookmarkEnd w:id="77"/>
      <w:r/>
      <w:bookmarkEnd w:id="78"/>
      <w:r/>
      <w:r/>
    </w:p>
    <w:tbl>
      <w:tblPr>
        <w:tblStyle w:val="1105"/>
        <w:tblW w:w="856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86"/>
        <w:gridCol w:w="1092"/>
        <w:gridCol w:w="881"/>
        <w:gridCol w:w="1275"/>
        <w:gridCol w:w="1276"/>
        <w:gridCol w:w="1066"/>
        <w:gridCol w:w="992"/>
      </w:tblGrid>
      <w:tr>
        <w:trPr>
          <w:jc w:val="center"/>
          <w:trHeight w:val="561"/>
        </w:trPr>
        <w:tc>
          <w:tcPr>
            <w:tcW w:w="198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投标人名称</w:t>
            </w:r>
            <w:r/>
          </w:p>
        </w:tc>
        <w:tc>
          <w:tcPr>
            <w:gridSpan w:val="6"/>
            <w:tcW w:w="6582"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611"/>
        </w:trPr>
        <w:tc>
          <w:tcPr>
            <w:tcW w:w="198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注册地址</w:t>
            </w:r>
            <w:r/>
          </w:p>
        </w:tc>
        <w:tc>
          <w:tcPr>
            <w:gridSpan w:val="3"/>
            <w:tcW w:w="3248"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7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邮政编码</w:t>
            </w:r>
            <w:r/>
          </w:p>
        </w:tc>
        <w:tc>
          <w:tcPr>
            <w:gridSpan w:val="2"/>
            <w:tcW w:w="2058"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cantSplit/>
          <w:jc w:val="center"/>
          <w:trHeight w:val="605"/>
        </w:trPr>
        <w:tc>
          <w:tcPr>
            <w:tcW w:w="1986" w:type="dxa"/>
            <w:vAlign w:val="center"/>
            <w:vMerge w:val="restart"/>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联系方式</w:t>
            </w:r>
            <w:r/>
          </w:p>
        </w:tc>
        <w:tc>
          <w:tcPr>
            <w:tcW w:w="1092"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联系人</w:t>
            </w:r>
            <w:r/>
          </w:p>
        </w:tc>
        <w:tc>
          <w:tcPr>
            <w:gridSpan w:val="2"/>
            <w:tcW w:w="215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7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电　话</w:t>
            </w:r>
            <w:r/>
          </w:p>
        </w:tc>
        <w:tc>
          <w:tcPr>
            <w:gridSpan w:val="2"/>
            <w:tcW w:w="2058"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cantSplit/>
          <w:jc w:val="center"/>
          <w:trHeight w:val="613"/>
        </w:trPr>
        <w:tc>
          <w:tcPr>
            <w:tcW w:w="1986" w:type="dxa"/>
            <w:vAlign w:val="center"/>
            <w:vMerge w:val="continue"/>
            <w:textDirection w:val="lrTb"/>
            <w:noWrap w:val="false"/>
          </w:tcPr>
          <w:p>
            <w:pPr>
              <w:ind w:firstLine="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092"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传  真</w:t>
            </w:r>
            <w:r/>
          </w:p>
        </w:tc>
        <w:tc>
          <w:tcPr>
            <w:gridSpan w:val="2"/>
            <w:tcW w:w="215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7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邮　箱</w:t>
            </w:r>
            <w:r/>
          </w:p>
        </w:tc>
        <w:tc>
          <w:tcPr>
            <w:gridSpan w:val="2"/>
            <w:tcW w:w="2058"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608"/>
        </w:trPr>
        <w:tc>
          <w:tcPr>
            <w:tcW w:w="198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法定代表人</w:t>
            </w:r>
            <w:r/>
          </w:p>
        </w:tc>
        <w:tc>
          <w:tcPr>
            <w:tcW w:w="1092"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姓　名</w:t>
            </w:r>
            <w:r/>
          </w:p>
        </w:tc>
        <w:tc>
          <w:tcPr>
            <w:tcW w:w="881"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75"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技术职称</w:t>
            </w:r>
            <w:r/>
          </w:p>
        </w:tc>
        <w:tc>
          <w:tcPr>
            <w:tcW w:w="127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06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电　话</w:t>
            </w:r>
            <w:r/>
          </w:p>
        </w:tc>
        <w:tc>
          <w:tcPr>
            <w:tcW w:w="992"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602"/>
        </w:trPr>
        <w:tc>
          <w:tcPr>
            <w:tcW w:w="198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技术负责人</w:t>
            </w:r>
            <w:r/>
          </w:p>
        </w:tc>
        <w:tc>
          <w:tcPr>
            <w:tcW w:w="1092"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姓　名</w:t>
            </w:r>
            <w:r/>
          </w:p>
        </w:tc>
        <w:tc>
          <w:tcPr>
            <w:tcW w:w="881"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75"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技术职称</w:t>
            </w:r>
            <w:r/>
          </w:p>
        </w:tc>
        <w:tc>
          <w:tcPr>
            <w:tcW w:w="127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06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电　话</w:t>
            </w:r>
            <w:r/>
          </w:p>
        </w:tc>
        <w:tc>
          <w:tcPr>
            <w:tcW w:w="992"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624"/>
        </w:trPr>
        <w:tc>
          <w:tcPr>
            <w:tcW w:w="198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成立时间</w:t>
            </w:r>
            <w:r/>
          </w:p>
        </w:tc>
        <w:tc>
          <w:tcPr>
            <w:gridSpan w:val="2"/>
            <w:tcW w:w="1973"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gridSpan w:val="4"/>
            <w:tcW w:w="4609"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员工总人数：</w:t>
            </w:r>
            <w:r/>
          </w:p>
        </w:tc>
      </w:tr>
      <w:tr>
        <w:trPr>
          <w:cantSplit/>
          <w:jc w:val="center"/>
          <w:trHeight w:val="610"/>
        </w:trPr>
        <w:tc>
          <w:tcPr>
            <w:tcW w:w="198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营业执照号</w:t>
            </w:r>
            <w:r/>
          </w:p>
        </w:tc>
        <w:tc>
          <w:tcPr>
            <w:gridSpan w:val="6"/>
            <w:tcW w:w="6582"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cantSplit/>
          <w:jc w:val="center"/>
          <w:trHeight w:val="604"/>
        </w:trPr>
        <w:tc>
          <w:tcPr>
            <w:tcW w:w="198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注册资金</w:t>
            </w:r>
            <w:r/>
          </w:p>
        </w:tc>
        <w:tc>
          <w:tcPr>
            <w:gridSpan w:val="6"/>
            <w:tcW w:w="6582"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cantSplit/>
          <w:jc w:val="center"/>
          <w:trHeight w:val="626"/>
        </w:trPr>
        <w:tc>
          <w:tcPr>
            <w:tcW w:w="198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开户银行</w:t>
            </w:r>
            <w:r/>
          </w:p>
        </w:tc>
        <w:tc>
          <w:tcPr>
            <w:gridSpan w:val="6"/>
            <w:tcW w:w="6582"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cantSplit/>
          <w:jc w:val="center"/>
          <w:trHeight w:val="606"/>
        </w:trPr>
        <w:tc>
          <w:tcPr>
            <w:tcW w:w="198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开户银行帐户</w:t>
            </w:r>
            <w:r/>
          </w:p>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名称</w:t>
            </w:r>
            <w:r/>
          </w:p>
        </w:tc>
        <w:tc>
          <w:tcPr>
            <w:gridSpan w:val="6"/>
            <w:tcW w:w="6582"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cantSplit/>
          <w:jc w:val="center"/>
          <w:trHeight w:val="606"/>
        </w:trPr>
        <w:tc>
          <w:tcPr>
            <w:tcW w:w="198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账号</w:t>
            </w:r>
            <w:r/>
          </w:p>
        </w:tc>
        <w:tc>
          <w:tcPr>
            <w:gridSpan w:val="6"/>
            <w:tcW w:w="6582"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700"/>
        </w:trPr>
        <w:tc>
          <w:tcPr>
            <w:tcW w:w="198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经营范围</w:t>
            </w:r>
            <w:r/>
          </w:p>
        </w:tc>
        <w:tc>
          <w:tcPr>
            <w:gridSpan w:val="6"/>
            <w:tcW w:w="6582" w:type="dxa"/>
            <w:vAlign w:val="center"/>
            <w:textDirection w:val="lrTb"/>
            <w:noWrap w:val="false"/>
          </w:tcPr>
          <w:p>
            <w:pPr>
              <w:ind w:firstLine="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847"/>
        </w:trPr>
        <w:tc>
          <w:tcPr>
            <w:tcW w:w="198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企业类型</w:t>
            </w:r>
            <w:r/>
          </w:p>
        </w:tc>
        <w:tc>
          <w:tcPr>
            <w:gridSpan w:val="6"/>
            <w:tcW w:w="6582" w:type="dxa"/>
            <w:vAlign w:val="center"/>
            <w:textDirection w:val="lrTb"/>
            <w:noWrap w:val="false"/>
          </w:tcPr>
          <w:p>
            <w:pPr>
              <w:ind w:firstLine="0"/>
              <w:jc w:val="center"/>
              <w:spacing w:line="5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大型企业 </w:t>
            </w:r>
            <w:r>
              <w:rPr>
                <w:rFonts w:hint="eastAsia" w:ascii="仿宋" w:hAnsi="仿宋" w:eastAsia="仿宋" w:cs="宋体"/>
                <w:b/>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    中型企业 </w:t>
            </w:r>
            <w:r>
              <w:rPr>
                <w:rFonts w:hint="eastAsia" w:ascii="仿宋" w:hAnsi="仿宋" w:eastAsia="仿宋" w:cs="宋体"/>
                <w:b/>
                <w:color w:val="000000" w:themeColor="text1"/>
                <w:szCs w:val="21"/>
                <w:highlight w:val="none"/>
                <w14:textFill>
                  <w14:solidFill>
                    <w14:schemeClr w14:val="tx1"/>
                  </w14:solidFill>
                </w14:textFill>
              </w:rPr>
              <w:t xml:space="preserve">□</w:t>
            </w:r>
            <w:r/>
          </w:p>
          <w:p>
            <w:pPr>
              <w:ind w:firstLine="0"/>
              <w:jc w:val="center"/>
              <w:spacing w:line="580" w:lineRule="exact"/>
              <w:rPr>
                <w:rFonts w:hint="eastAsia" w:ascii="宋体" w:hAnsi="宋体" w:eastAsia="仿宋"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小型企业 </w:t>
            </w:r>
            <w:r>
              <w:rPr>
                <w:rFonts w:hint="eastAsia" w:ascii="仿宋" w:hAnsi="仿宋" w:eastAsia="仿宋" w:cs="宋体"/>
                <w:b/>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    微型企业 </w:t>
            </w:r>
            <w:r>
              <w:rPr>
                <w:rFonts w:hint="eastAsia" w:ascii="仿宋" w:hAnsi="仿宋" w:eastAsia="仿宋" w:cs="宋体"/>
                <w:b/>
                <w:color w:val="000000" w:themeColor="text1"/>
                <w:szCs w:val="21"/>
                <w:highlight w:val="none"/>
                <w14:textFill>
                  <w14:solidFill>
                    <w14:schemeClr w14:val="tx1"/>
                  </w14:solidFill>
                </w14:textFill>
              </w:rPr>
              <w:t xml:space="preserve">□</w:t>
            </w:r>
            <w:r/>
          </w:p>
        </w:tc>
      </w:tr>
      <w:tr>
        <w:trPr>
          <w:jc w:val="center"/>
          <w:trHeight w:val="507"/>
        </w:trPr>
        <w:tc>
          <w:tcPr>
            <w:tcW w:w="198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备注</w:t>
            </w:r>
            <w:r/>
          </w:p>
        </w:tc>
        <w:tc>
          <w:tcPr>
            <w:gridSpan w:val="6"/>
            <w:tcW w:w="6582"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bl>
    <w:p>
      <w:pPr>
        <w:ind w:firstLine="480"/>
        <w:spacing w:line="5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jc w:val="right"/>
        <w:spacing w:line="5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投标人名称（电子签章）： ______________</w:t>
      </w:r>
      <w:r/>
    </w:p>
    <w:p>
      <w:pPr>
        <w:ind w:firstLine="480"/>
        <w:jc w:val="center"/>
        <w:spacing w:line="5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 日  期：   年  月  </w:t>
      </w:r>
      <w:r>
        <w:rPr>
          <w:rFonts w:hint="eastAsia" w:ascii="宋体" w:hAnsi="宋体" w:eastAsia="宋体" w:cs="宋体"/>
          <w:color w:val="000000" w:themeColor="text1"/>
          <w:highlight w:val="none"/>
          <w:lang w:val="en-US" w:eastAsia="zh-CN"/>
          <w14:textFill>
            <w14:solidFill>
              <w14:schemeClr w14:val="tx1"/>
            </w14:solidFill>
          </w14:textFill>
        </w:rPr>
        <w:t xml:space="preserve">日</w:t>
      </w:r>
      <w:r>
        <w:rPr>
          <w:rFonts w:hint="eastAsia" w:ascii="宋体" w:hAnsi="宋体" w:eastAsia="宋体" w:cs="宋体"/>
          <w:color w:val="000000" w:themeColor="text1"/>
          <w:highlight w:val="none"/>
          <w14:textFill>
            <w14:solidFill>
              <w14:schemeClr w14:val="tx1"/>
            </w14:solidFill>
          </w14:textFill>
        </w:rPr>
        <w:t xml:space="preserve">           </w:t>
      </w:r>
      <w:r/>
    </w:p>
    <w:p>
      <w:pP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br w:type="page" w:clear="all"/>
      </w:r>
      <w:r/>
    </w:p>
    <w:p>
      <w:pPr>
        <w:jc w:val="center"/>
        <w:rPr>
          <w:rFonts w:hint="eastAsia" w:ascii="宋体" w:hAnsi="宋体" w:eastAsia="宋体" w:cs="宋体"/>
          <w:color w:val="000000" w:themeColor="text1"/>
          <w:sz w:val="32"/>
          <w:szCs w:val="32"/>
          <w:highlight w:val="none"/>
          <w:lang w:eastAsia="zh-CN"/>
          <w14:textFill>
            <w14:solidFill>
              <w14:schemeClr w14:val="tx1"/>
            </w14:solidFill>
          </w14:textFill>
        </w:rPr>
      </w:pPr>
      <w:r>
        <w:rPr>
          <w:rFonts w:hint="eastAsia" w:ascii="宋体" w:hAnsi="宋体" w:eastAsia="宋体" w:cs="宋体"/>
          <w:b/>
          <w:color w:val="000000" w:themeColor="text1"/>
          <w:sz w:val="32"/>
          <w:szCs w:val="32"/>
          <w:highlight w:val="none"/>
          <w:lang w:val="en-US" w:eastAsia="zh-CN"/>
          <w14:textFill>
            <w14:solidFill>
              <w14:schemeClr w14:val="tx1"/>
            </w14:solidFill>
          </w14:textFill>
        </w:rPr>
        <w:t xml:space="preserve">12.</w:t>
      </w:r>
      <w:r>
        <w:rPr>
          <w:rFonts w:hint="eastAsia" w:ascii="宋体" w:hAnsi="宋体" w:eastAsia="宋体" w:cs="宋体"/>
          <w:b/>
          <w:color w:val="000000" w:themeColor="text1"/>
          <w:sz w:val="32"/>
          <w:szCs w:val="32"/>
          <w:highlight w:val="none"/>
          <w14:textFill>
            <w14:solidFill>
              <w14:schemeClr w14:val="tx1"/>
            </w14:solidFill>
          </w14:textFill>
        </w:rPr>
        <w:t xml:space="preserve">关于符合本国产品标准的声明函</w:t>
      </w:r>
      <w:r/>
    </w:p>
    <w:p>
      <w:pPr>
        <w:pStyle w:val="1129"/>
        <w:ind w:firstLine="420"/>
        <w:spacing w:before="0" w:beforeAutospacing="0" w:after="0" w:afterAutospacing="0" w:line="0" w:lineRule="atLeast"/>
        <w:rPr>
          <w:rFonts w:ascii="方正魏碑_GBK" w:hAnsi="方正魏碑_GBK" w:eastAsia="方正魏碑_GBK" w:cs="方正魏碑_GBK"/>
          <w:color w:val="000000" w:themeColor="text1"/>
          <w:highlight w:val="none"/>
          <w14:textFill>
            <w14:solidFill>
              <w14:schemeClr w14:val="tx1"/>
            </w14:solidFill>
          </w14:textFill>
        </w:rPr>
      </w:pPr>
      <w:r>
        <w:rPr>
          <w:rFonts w:ascii="方正魏碑_GBK" w:hAnsi="方正魏碑_GBK" w:eastAsia="方正魏碑_GBK" w:cs="方正魏碑_GBK"/>
          <w:color w:val="000000" w:themeColor="text1"/>
          <w:highlight w:val="none"/>
          <w14:textFill>
            <w14:solidFill>
              <w14:schemeClr w14:val="tx1"/>
            </w14:solidFill>
          </w14:textFill>
        </w:rPr>
      </w:r>
      <w:r/>
    </w:p>
    <w:p>
      <w:pPr>
        <w:pStyle w:val="1413"/>
        <w:ind w:left="0" w:right="0" w:firstLine="420"/>
        <w:keepLines w:val="0"/>
        <w:keepNext w:val="0"/>
        <w:pageBreakBefore w:val="0"/>
        <w:spacing w:before="0" w:beforeAutospacing="0" w:after="0" w:afterAutospacing="0" w:line="400" w:lineRule="exact"/>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413"/>
        <w:ind w:left="0" w:right="0" w:firstLine="42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1.</w:t>
      </w:r>
      <w:r>
        <w:rPr>
          <w:rStyle w:val="1327"/>
          <w:rFonts w:hint="eastAsia" w:ascii="宋体" w:hAnsi="宋体" w:eastAsia="宋体" w:cs="宋体"/>
          <w:i w:val="0"/>
          <w:iCs w:val="0"/>
          <w:caps w:val="0"/>
          <w:color w:val="000000" w:themeColor="text1"/>
          <w:spacing w:val="0"/>
          <w:sz w:val="24"/>
          <w:szCs w:val="24"/>
          <w:highlight w:val="none"/>
          <w:u w:val="single"/>
          <w:shd w:val="clear" w:color="auto" w:fill="ffffff"/>
          <w14:textFill>
            <w14:solidFill>
              <w14:schemeClr w14:val="tx1"/>
            </w14:solidFill>
          </w14:textFill>
        </w:rPr>
        <w:t xml:space="preserve">（产品名称1）</w:t>
      </w:r>
      <w:r>
        <w:rPr>
          <w:rStyle w:val="1327"/>
          <w:rFonts w:hint="eastAsia" w:ascii="宋体" w:hAnsi="宋体" w:eastAsia="宋体" w:cs="宋体"/>
          <w:i w:val="0"/>
          <w:iCs w:val="0"/>
          <w:caps w:val="0"/>
          <w:color w:val="000000" w:themeColor="text1"/>
          <w:spacing w:val="0"/>
          <w:sz w:val="24"/>
          <w:szCs w:val="24"/>
          <w:highlight w:val="none"/>
          <w:u w:val="none"/>
          <w:shd w:val="clear" w:color="auto" w:fill="ffffff"/>
          <w:vertAlign w:val="superscript"/>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，生产厂为</w:t>
      </w:r>
      <w:r>
        <w:rPr>
          <w:rStyle w:val="1327"/>
          <w:rFonts w:hint="eastAsia" w:ascii="宋体" w:hAnsi="宋体" w:eastAsia="宋体" w:cs="宋体"/>
          <w:i w:val="0"/>
          <w:iCs w:val="0"/>
          <w:caps w:val="0"/>
          <w:color w:val="000000" w:themeColor="text1"/>
          <w:spacing w:val="0"/>
          <w:sz w:val="24"/>
          <w:szCs w:val="24"/>
          <w:highlight w:val="none"/>
          <w:u w:val="single"/>
          <w:shd w:val="clear" w:color="auto" w:fill="ffffff"/>
          <w14:textFill>
            <w14:solidFill>
              <w14:schemeClr w14:val="tx1"/>
            </w14:solidFill>
          </w14:textFill>
        </w:rPr>
        <w:t xml:space="preserve">（厂名）</w:t>
      </w:r>
      <w:r>
        <w:rPr>
          <w:rStyle w:val="1327"/>
          <w:rFonts w:hint="eastAsia" w:ascii="宋体" w:hAnsi="宋体" w:eastAsia="宋体" w:cs="宋体"/>
          <w:i w:val="0"/>
          <w:iCs w:val="0"/>
          <w:caps w:val="0"/>
          <w:color w:val="000000" w:themeColor="text1"/>
          <w:spacing w:val="0"/>
          <w:sz w:val="24"/>
          <w:szCs w:val="24"/>
          <w:highlight w:val="none"/>
          <w:u w:val="none"/>
          <w:shd w:val="clear" w:color="auto" w:fill="ffffff"/>
          <w:vertAlign w:val="superscript"/>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，厂址为</w:t>
      </w:r>
      <w:r>
        <w:rPr>
          <w:rStyle w:val="1327"/>
          <w:rFonts w:hint="eastAsia" w:ascii="宋体" w:hAnsi="宋体" w:eastAsia="宋体" w:cs="宋体"/>
          <w:i w:val="0"/>
          <w:iCs w:val="0"/>
          <w:caps w:val="0"/>
          <w:color w:val="000000" w:themeColor="text1"/>
          <w:spacing w:val="0"/>
          <w:sz w:val="24"/>
          <w:szCs w:val="24"/>
          <w:highlight w:val="none"/>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Style w:val="1327"/>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的中国境内生产的组件成本占比≥</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Style w:val="1327"/>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Style w:val="1327"/>
          <w:rFonts w:hint="eastAsia" w:ascii="宋体" w:hAnsi="宋体" w:eastAsia="宋体" w:cs="宋体"/>
          <w:i w:val="0"/>
          <w:iCs w:val="0"/>
          <w:caps w:val="0"/>
          <w:color w:val="000000" w:themeColor="text1"/>
          <w:spacing w:val="0"/>
          <w:sz w:val="24"/>
          <w:szCs w:val="24"/>
          <w:highlight w:val="none"/>
          <w:u w:val="none"/>
          <w:shd w:val="clear" w:color="auto" w:fill="ffffff"/>
          <w:vertAlign w:val="superscript"/>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Style w:val="1327"/>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Style w:val="1327"/>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Style w:val="1327"/>
          <w:rFonts w:hint="eastAsia" w:ascii="宋体" w:hAnsi="宋体" w:eastAsia="宋体" w:cs="宋体"/>
          <w:i w:val="0"/>
          <w:iCs w:val="0"/>
          <w:caps w:val="0"/>
          <w:color w:val="000000" w:themeColor="text1"/>
          <w:spacing w:val="0"/>
          <w:sz w:val="24"/>
          <w:szCs w:val="24"/>
          <w:highlight w:val="none"/>
          <w:u w:val="none"/>
          <w:shd w:val="clear" w:color="auto" w:fill="ffffff"/>
          <w:vertAlign w:val="superscript"/>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Style w:val="1327"/>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Style w:val="1327"/>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Style w:val="1327"/>
          <w:rFonts w:hint="eastAsia" w:ascii="宋体" w:hAnsi="宋体" w:eastAsia="宋体" w:cs="宋体"/>
          <w:i w:val="0"/>
          <w:iCs w:val="0"/>
          <w:caps w:val="0"/>
          <w:color w:val="000000" w:themeColor="text1"/>
          <w:spacing w:val="0"/>
          <w:sz w:val="24"/>
          <w:szCs w:val="24"/>
          <w:highlight w:val="none"/>
          <w:u w:val="none"/>
          <w:shd w:val="clear" w:color="auto" w:fill="ffffff"/>
          <w:vertAlign w:val="superscript"/>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在中国境内完成。</w:t>
      </w:r>
      <w:r/>
    </w:p>
    <w:p>
      <w:pPr>
        <w:pStyle w:val="1413"/>
        <w:ind w:left="0" w:right="0" w:firstLine="42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w:t>
      </w:r>
      <w:r>
        <w:rPr>
          <w:rStyle w:val="1327"/>
          <w:rFonts w:hint="eastAsia" w:ascii="宋体" w:hAnsi="宋体" w:eastAsia="宋体" w:cs="宋体"/>
          <w:i w:val="0"/>
          <w:iCs w:val="0"/>
          <w:caps w:val="0"/>
          <w:color w:val="000000" w:themeColor="text1"/>
          <w:spacing w:val="0"/>
          <w:sz w:val="24"/>
          <w:szCs w:val="24"/>
          <w:highlight w:val="none"/>
          <w:u w:val="single"/>
          <w:shd w:val="clear" w:color="auto" w:fill="ffffff"/>
          <w14:textFill>
            <w14:solidFill>
              <w14:schemeClr w14:val="tx1"/>
            </w14:solidFill>
          </w14:textFill>
        </w:rPr>
        <w:t xml:space="preserve">（产品名称</w:t>
      </w:r>
      <w:r>
        <w:rPr>
          <w:rStyle w:val="1327"/>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2</w:t>
      </w:r>
      <w:r>
        <w:rPr>
          <w:rStyle w:val="1327"/>
          <w:rFonts w:hint="eastAsia" w:ascii="宋体" w:hAnsi="宋体" w:eastAsia="宋体" w:cs="宋体"/>
          <w:i w:val="0"/>
          <w:iCs w:val="0"/>
          <w:caps w:val="0"/>
          <w:color w:val="000000" w:themeColor="text1"/>
          <w:spacing w:val="0"/>
          <w:sz w:val="24"/>
          <w:szCs w:val="24"/>
          <w:highlight w:val="none"/>
          <w:u w:val="single"/>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，生产厂为</w:t>
      </w:r>
      <w:r>
        <w:rPr>
          <w:rStyle w:val="1327"/>
          <w:rFonts w:hint="eastAsia" w:ascii="宋体" w:hAnsi="宋体" w:eastAsia="宋体" w:cs="宋体"/>
          <w:i w:val="0"/>
          <w:iCs w:val="0"/>
          <w:caps w:val="0"/>
          <w:color w:val="000000" w:themeColor="text1"/>
          <w:spacing w:val="0"/>
          <w:sz w:val="24"/>
          <w:szCs w:val="24"/>
          <w:highlight w:val="none"/>
          <w:u w:val="single"/>
          <w:shd w:val="clear" w:color="auto" w:fill="ffffff"/>
          <w14:textFill>
            <w14:solidFill>
              <w14:schemeClr w14:val="tx1"/>
            </w14:solidFill>
          </w14:textFill>
        </w:rPr>
        <w:t xml:space="preserve">（厂名）</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，厂址为</w:t>
      </w:r>
      <w:r>
        <w:rPr>
          <w:rStyle w:val="1327"/>
          <w:rFonts w:hint="eastAsia" w:ascii="宋体" w:hAnsi="宋体" w:eastAsia="宋体" w:cs="宋体"/>
          <w:i w:val="0"/>
          <w:iCs w:val="0"/>
          <w:caps w:val="0"/>
          <w:color w:val="000000" w:themeColor="text1"/>
          <w:spacing w:val="0"/>
          <w:sz w:val="24"/>
          <w:szCs w:val="24"/>
          <w:highlight w:val="none"/>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Style w:val="1327"/>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的中国境内生产的组件成本占比≥</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Style w:val="1327"/>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Style w:val="1327"/>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Style w:val="1327"/>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Style w:val="1327"/>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Style w:val="1327"/>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在中国境内完成。</w:t>
      </w:r>
      <w:r/>
    </w:p>
    <w:p>
      <w:pPr>
        <w:pStyle w:val="1413"/>
        <w:ind w:left="0" w:right="0" w:firstLine="42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w:t>
      </w:r>
      <w:r/>
    </w:p>
    <w:p>
      <w:pPr>
        <w:pStyle w:val="1413"/>
        <w:ind w:left="0" w:right="0" w:firstLine="42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r>
      <w:r/>
    </w:p>
    <w:p>
      <w:pPr>
        <w:pStyle w:val="1413"/>
        <w:ind w:left="0" w:right="0" w:firstLine="42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1413"/>
        <w:ind w:left="0" w:right="0" w:firstLine="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r>
      <w:r/>
    </w:p>
    <w:p>
      <w:pPr>
        <w:pStyle w:val="1413"/>
        <w:ind w:left="0" w:right="0" w:firstLine="0"/>
        <w:jc w:val="right"/>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公司（单位）名称（</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加盖</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CA电子公章</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　        </w:t>
      </w:r>
      <w:r/>
    </w:p>
    <w:p>
      <w:pPr>
        <w:pStyle w:val="1413"/>
        <w:ind w:left="0" w:right="0" w:firstLine="0"/>
        <w:jc w:val="center"/>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日期：</w:t>
      </w:r>
      <w:r>
        <w:rPr>
          <w:rFonts w:hint="eastAsia" w:ascii="宋体" w:hAnsi="宋体" w:eastAsia="宋体" w:cs="宋体"/>
          <w:color w:val="000000" w:themeColor="text1"/>
          <w:sz w:val="24"/>
          <w:szCs w:val="21"/>
          <w:highlight w:val="none"/>
          <w14:textFill>
            <w14:solidFill>
              <w14:schemeClr w14:val="tx1"/>
            </w14:solidFill>
          </w14:textFill>
        </w:rPr>
        <w:t xml:space="preserve">___年____月____日</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        </w:t>
      </w:r>
      <w:r/>
    </w:p>
    <w:p>
      <w:pPr>
        <w:pStyle w:val="1413"/>
        <w:ind w:left="0" w:right="0" w:firstLine="0"/>
        <w:jc w:val="left"/>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r>
      <w:r/>
    </w:p>
    <w:p>
      <w:pPr>
        <w:pStyle w:val="1413"/>
        <w:ind w:left="0" w:right="0" w:firstLine="0"/>
        <w:jc w:val="left"/>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__________________</w:t>
      </w:r>
      <w:r/>
    </w:p>
    <w:p>
      <w:pPr>
        <w:pStyle w:val="1413"/>
        <w:ind w:right="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1.产品如有型号，请在“产品名称”栏一并填写。</w:t>
      </w:r>
      <w:r/>
    </w:p>
    <w:p>
      <w:pPr>
        <w:pStyle w:val="1413"/>
        <w:ind w:right="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2.生产厂名与厂址应与生产厂营业执照载明的相关信息保持一致。</w:t>
      </w:r>
      <w:r/>
    </w:p>
    <w:p>
      <w:pPr>
        <w:pStyle w:val="1413"/>
        <w:ind w:right="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1413"/>
        <w:ind w:right="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4.该产品的关键组件要求实施前，“关键组件”栏可不填，下同。</w:t>
      </w:r>
      <w:r/>
    </w:p>
    <w:p>
      <w:pPr>
        <w:pStyle w:val="1413"/>
        <w:ind w:right="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5.该产品的关键工序要求实施前，“关键工序”栏可不填，下同。</w:t>
      </w:r>
      <w:r/>
    </w:p>
    <w:p>
      <w:pPr>
        <w:pStyle w:val="1413"/>
        <w:ind w:right="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6.《声明函》中标注“</w:t>
      </w:r>
      <w:r>
        <w:rPr>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Style w:val="1327"/>
          <w:rFonts w:hint="eastAsia" w:ascii="宋体" w:hAnsi="宋体" w:eastAsia="宋体" w:cs="宋体"/>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”的地方无需填写。</w:t>
      </w:r>
      <w:r/>
    </w:p>
    <w:p>
      <w:pPr>
        <w:ind w:firstLine="643"/>
        <w:jc w:val="center"/>
        <w:spacing w:line="480" w:lineRule="exact"/>
        <w:rPr>
          <w:rFonts w:hint="eastAsia" w:ascii="宋体" w:hAnsi="宋体" w:eastAsia="宋体" w:cs="宋体"/>
          <w:b/>
          <w:color w:val="000000" w:themeColor="text1"/>
          <w:sz w:val="32"/>
          <w:szCs w:val="32"/>
          <w:highlight w:val="none"/>
          <w:lang w:val="en-US" w:eastAsia="zh-CN"/>
          <w14:textFill>
            <w14:solidFill>
              <w14:schemeClr w14:val="tx1"/>
            </w14:solidFill>
          </w14:textFill>
        </w:rPr>
      </w:pPr>
      <w:r>
        <w:rPr>
          <w:rFonts w:hint="eastAsia" w:ascii="宋体" w:hAnsi="宋体" w:eastAsia="宋体" w:cs="宋体"/>
          <w:b/>
          <w:color w:val="000000" w:themeColor="text1"/>
          <w:sz w:val="32"/>
          <w:szCs w:val="32"/>
          <w:highlight w:val="none"/>
          <w:lang w:val="en-US" w:eastAsia="zh-CN"/>
          <w14:textFill>
            <w14:solidFill>
              <w14:schemeClr w14:val="tx1"/>
            </w14:solidFill>
          </w14:textFill>
        </w:rPr>
      </w:r>
      <w:r/>
    </w:p>
    <w:p>
      <w:pPr>
        <w:pStyle w:val="1136"/>
        <w:rPr>
          <w:rFonts w:hint="eastAsia" w:ascii="宋体" w:hAnsi="宋体" w:eastAsia="宋体" w:cs="宋体"/>
          <w:b/>
          <w:color w:val="000000" w:themeColor="text1"/>
          <w:sz w:val="32"/>
          <w:szCs w:val="32"/>
          <w:highlight w:val="none"/>
          <w:lang w:val="en-US" w:eastAsia="zh-CN"/>
          <w14:textFill>
            <w14:solidFill>
              <w14:schemeClr w14:val="tx1"/>
            </w14:solidFill>
          </w14:textFill>
        </w:rPr>
      </w:pPr>
      <w:r>
        <w:rPr>
          <w:rFonts w:hint="eastAsia" w:ascii="宋体" w:hAnsi="宋体" w:eastAsia="宋体" w:cs="宋体"/>
          <w:b/>
          <w:color w:val="000000" w:themeColor="text1"/>
          <w:sz w:val="32"/>
          <w:szCs w:val="32"/>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lang w:val="en-US" w:eastAsia="zh-CN"/>
          <w14:textFill>
            <w14:solidFill>
              <w14:schemeClr w14:val="tx1"/>
            </w14:solidFill>
          </w14:textFill>
        </w:rPr>
      </w:pPr>
      <w:r>
        <w:rPr>
          <w:rFonts w:hint="eastAsia" w:ascii="宋体" w:hAnsi="宋体" w:cs="仿宋"/>
          <w:b/>
          <w:bCs/>
          <w:color w:val="000000" w:themeColor="text1"/>
          <w:sz w:val="32"/>
          <w:szCs w:val="32"/>
          <w:highlight w:val="none"/>
          <w:lang w:val="en-US" w:eastAsia="zh-CN"/>
          <w14:textFill>
            <w14:solidFill>
              <w14:schemeClr w14:val="tx1"/>
            </w14:solidFill>
          </w14:textFill>
        </w:rPr>
      </w:r>
      <w:r/>
    </w:p>
    <w:p>
      <w:pPr>
        <w:jc w:val="center"/>
        <w:rPr>
          <w:rFonts w:hint="eastAsia" w:ascii="宋体" w:hAnsi="宋体" w:eastAsia="宋体" w:cs="宋体"/>
          <w:b/>
          <w:bCs/>
          <w:color w:val="000000" w:themeColor="text1"/>
          <w:sz w:val="44"/>
          <w:szCs w:val="44"/>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t xml:space="preserve">质疑函范本</w:t>
      </w:r>
      <w:r/>
    </w:p>
    <w:p>
      <w:pPr>
        <w:ind w:firstLine="198"/>
        <w:keepLines w:val="0"/>
        <w:keepNext w:val="0"/>
        <w:pageBreakBefore w:val="0"/>
        <w:spacing w:line="500" w:lineRule="exact"/>
        <w:widowControl w:val="off"/>
        <w:rPr>
          <w:rFonts w:hint="eastAsia" w:ascii="黑体" w:hAnsi="黑体" w:eastAsia="黑体" w:cs="仿宋"/>
          <w:bCs/>
          <w:color w:val="000000" w:themeColor="text1"/>
          <w:sz w:val="32"/>
          <w:szCs w:val="32"/>
          <w:highlight w:val="none"/>
          <w14:textFill>
            <w14:solidFill>
              <w14:schemeClr w14:val="tx1"/>
            </w14:solidFill>
          </w14:textFill>
        </w:rPr>
        <w:outlineLvl w:val="9"/>
      </w:pPr>
      <w:r>
        <w:rPr>
          <w:rFonts w:hint="eastAsia" w:ascii="黑体" w:hAnsi="黑体" w:eastAsia="黑体" w:cs="仿宋"/>
          <w:bCs/>
          <w:color w:val="000000" w:themeColor="text1"/>
          <w:sz w:val="32"/>
          <w:szCs w:val="32"/>
          <w:highlight w:val="none"/>
          <w14:textFill>
            <w14:solidFill>
              <w14:schemeClr w14:val="tx1"/>
            </w14:solidFill>
          </w14:textFill>
        </w:rPr>
      </w:r>
      <w:r/>
    </w:p>
    <w:p>
      <w:pPr>
        <w:ind w:firstLine="198"/>
        <w:keepLines w:val="0"/>
        <w:keepNext w:val="0"/>
        <w:pageBreakBefore w:val="0"/>
        <w:spacing w:line="500" w:lineRule="exact"/>
        <w:widowControl w:val="off"/>
        <w:rPr>
          <w:rFonts w:ascii="黑体" w:hAnsi="黑体" w:eastAsia="黑体" w:cs="仿宋"/>
          <w:bCs/>
          <w:color w:val="000000" w:themeColor="text1"/>
          <w:sz w:val="32"/>
          <w:szCs w:val="32"/>
          <w:highlight w:val="none"/>
          <w14:textFill>
            <w14:solidFill>
              <w14:schemeClr w14:val="tx1"/>
            </w14:solidFill>
          </w14:textFill>
        </w:rPr>
        <w:outlineLvl w:val="9"/>
      </w:pPr>
      <w:r>
        <w:rPr>
          <w:rFonts w:hint="eastAsia" w:ascii="黑体" w:hAnsi="黑体" w:eastAsia="黑体" w:cs="仿宋"/>
          <w:bCs/>
          <w:color w:val="000000" w:themeColor="text1"/>
          <w:sz w:val="32"/>
          <w:szCs w:val="32"/>
          <w:highlight w:val="none"/>
          <w14:textFill>
            <w14:solidFill>
              <w14:schemeClr w14:val="tx1"/>
            </w14:solidFill>
          </w14:textFill>
        </w:rPr>
        <w:t xml:space="preserve">一、质疑供应商基本信息</w:t>
      </w:r>
      <w:r/>
    </w:p>
    <w:p>
      <w:pPr>
        <w:ind w:firstLine="198"/>
        <w:keepLines w:val="0"/>
        <w:keepNext w:val="0"/>
        <w:pageBreakBefore w:val="0"/>
        <w:spacing w:line="500" w:lineRule="exact"/>
        <w:widowControl w:val="off"/>
        <w:rPr>
          <w:rFonts w:ascii="仿宋" w:hAnsi="仿宋" w:eastAsia="仿宋" w:cs="仿宋"/>
          <w:color w:val="000000" w:themeColor="text1"/>
          <w:sz w:val="32"/>
          <w:szCs w:val="32"/>
          <w:highlight w:val="none"/>
          <w:u w:val="single"/>
          <w14:textFill>
            <w14:solidFill>
              <w14:schemeClr w14:val="tx1"/>
            </w14:solidFill>
          </w14:textFill>
        </w:rPr>
        <w:outlineLvl w:val="9"/>
      </w:pPr>
      <w:r>
        <w:rPr>
          <w:rFonts w:hint="eastAsia" w:ascii="仿宋" w:hAnsi="仿宋" w:eastAsia="仿宋" w:cs="仿宋"/>
          <w:color w:val="000000" w:themeColor="text1"/>
          <w:sz w:val="32"/>
          <w:szCs w:val="32"/>
          <w:highlight w:val="none"/>
          <w14:textFill>
            <w14:solidFill>
              <w14:schemeClr w14:val="tx1"/>
            </w14:solidFill>
          </w14:textFill>
        </w:rPr>
        <w:t xml:space="preserve">质疑供应商：</w:t>
      </w:r>
      <w:r>
        <w:rPr>
          <w:rFonts w:hint="eastAsia" w:ascii="仿宋" w:hAnsi="仿宋" w:eastAsia="仿宋" w:cs="仿宋"/>
          <w:color w:val="000000" w:themeColor="text1"/>
          <w:sz w:val="32"/>
          <w:szCs w:val="32"/>
          <w:highlight w:val="none"/>
          <w:u w:val="single"/>
          <w14:textFill>
            <w14:solidFill>
              <w14:schemeClr w14:val="tx1"/>
            </w14:solidFill>
          </w14:textFill>
        </w:rPr>
        <w:t xml:space="preserve">                                        </w:t>
      </w:r>
      <w:r/>
    </w:p>
    <w:p>
      <w:pPr>
        <w:ind w:firstLine="198"/>
        <w:keepLines w:val="0"/>
        <w:keepNext w:val="0"/>
        <w:pageBreakBefore w:val="0"/>
        <w:spacing w:line="500" w:lineRule="exact"/>
        <w:widowControl w:val="off"/>
        <w:rPr>
          <w:rFonts w:ascii="仿宋" w:hAnsi="仿宋" w:eastAsia="仿宋" w:cs="仿宋"/>
          <w:color w:val="000000" w:themeColor="text1"/>
          <w:sz w:val="32"/>
          <w:szCs w:val="32"/>
          <w:highlight w:val="none"/>
          <w14:textFill>
            <w14:solidFill>
              <w14:schemeClr w14:val="tx1"/>
            </w14:solidFill>
          </w14:textFill>
        </w:rPr>
        <w:outlineLvl w:val="9"/>
      </w:pPr>
      <w:r>
        <w:rPr>
          <w:rFonts w:hint="eastAsia" w:ascii="仿宋" w:hAnsi="仿宋" w:eastAsia="仿宋" w:cs="仿宋"/>
          <w:color w:val="000000" w:themeColor="text1"/>
          <w:sz w:val="32"/>
          <w:szCs w:val="32"/>
          <w:highlight w:val="none"/>
          <w14:textFill>
            <w14:solidFill>
              <w14:schemeClr w14:val="tx1"/>
            </w14:solidFill>
          </w14:textFill>
        </w:rPr>
        <w:t xml:space="preserve">地址：</w:t>
      </w:r>
      <w:r>
        <w:rPr>
          <w:rFonts w:hint="eastAsia" w:ascii="仿宋" w:hAnsi="仿宋" w:eastAsia="仿宋" w:cs="仿宋"/>
          <w:color w:val="000000" w:themeColor="text1"/>
          <w:sz w:val="32"/>
          <w:szCs w:val="32"/>
          <w:highlight w:val="none"/>
          <w:u w:val="single"/>
          <w14:textFill>
            <w14:solidFill>
              <w14:schemeClr w14:val="tx1"/>
            </w14:solidFill>
          </w14:textFill>
        </w:rPr>
        <w:t xml:space="preserve">                          </w:t>
      </w:r>
      <w:r>
        <w:rPr>
          <w:rFonts w:hint="eastAsia" w:ascii="仿宋" w:hAnsi="仿宋" w:eastAsia="仿宋" w:cs="仿宋"/>
          <w:color w:val="000000" w:themeColor="text1"/>
          <w:sz w:val="32"/>
          <w:szCs w:val="32"/>
          <w:highlight w:val="none"/>
          <w14:textFill>
            <w14:solidFill>
              <w14:schemeClr w14:val="tx1"/>
            </w14:solidFill>
          </w14:textFill>
        </w:rPr>
        <w:t xml:space="preserve">邮编：</w:t>
      </w:r>
      <w:r>
        <w:rPr>
          <w:rFonts w:hint="eastAsia" w:ascii="仿宋" w:hAnsi="仿宋" w:eastAsia="仿宋" w:cs="仿宋"/>
          <w:color w:val="000000" w:themeColor="text1"/>
          <w:sz w:val="32"/>
          <w:szCs w:val="32"/>
          <w:highlight w:val="none"/>
          <w:u w:val="single"/>
          <w14:textFill>
            <w14:solidFill>
              <w14:schemeClr w14:val="tx1"/>
            </w14:solidFill>
          </w14:textFill>
        </w:rPr>
        <w:t xml:space="preserve">                                                   </w:t>
      </w:r>
      <w:r/>
    </w:p>
    <w:p>
      <w:pPr>
        <w:ind w:firstLine="198"/>
        <w:keepLines w:val="0"/>
        <w:keepNext w:val="0"/>
        <w:pageBreakBefore w:val="0"/>
        <w:spacing w:line="500" w:lineRule="exact"/>
        <w:widowControl w:val="off"/>
        <w:rPr>
          <w:rFonts w:ascii="仿宋" w:hAnsi="仿宋" w:eastAsia="仿宋" w:cs="仿宋"/>
          <w:color w:val="000000" w:themeColor="text1"/>
          <w:sz w:val="32"/>
          <w:szCs w:val="32"/>
          <w:highlight w:val="none"/>
          <w14:textFill>
            <w14:solidFill>
              <w14:schemeClr w14:val="tx1"/>
            </w14:solidFill>
          </w14:textFill>
        </w:rPr>
        <w:outlineLvl w:val="9"/>
      </w:pPr>
      <w:r>
        <w:rPr>
          <w:rFonts w:hint="eastAsia" w:ascii="仿宋" w:hAnsi="仿宋" w:eastAsia="仿宋" w:cs="仿宋"/>
          <w:color w:val="000000" w:themeColor="text1"/>
          <w:sz w:val="32"/>
          <w:szCs w:val="32"/>
          <w:highlight w:val="none"/>
          <w14:textFill>
            <w14:solidFill>
              <w14:schemeClr w14:val="tx1"/>
            </w14:solidFill>
          </w14:textFill>
        </w:rPr>
        <w:t xml:space="preserve">联系人：</w:t>
      </w:r>
      <w:r>
        <w:rPr>
          <w:rFonts w:hint="eastAsia" w:ascii="仿宋" w:hAnsi="仿宋" w:eastAsia="仿宋" w:cs="仿宋"/>
          <w:color w:val="000000" w:themeColor="text1"/>
          <w:sz w:val="32"/>
          <w:szCs w:val="32"/>
          <w:highlight w:val="none"/>
          <w:u w:val="single"/>
          <w14:textFill>
            <w14:solidFill>
              <w14:schemeClr w14:val="tx1"/>
            </w14:solidFill>
          </w14:textFill>
        </w:rPr>
        <w:t xml:space="preserve">                      </w:t>
      </w:r>
      <w:r>
        <w:rPr>
          <w:rFonts w:hint="eastAsia" w:ascii="仿宋" w:hAnsi="仿宋" w:eastAsia="仿宋" w:cs="仿宋"/>
          <w:color w:val="000000" w:themeColor="text1"/>
          <w:sz w:val="32"/>
          <w:szCs w:val="32"/>
          <w:highlight w:val="none"/>
          <w14:textFill>
            <w14:solidFill>
              <w14:schemeClr w14:val="tx1"/>
            </w14:solidFill>
          </w14:textFill>
        </w:rPr>
        <w:t xml:space="preserve">联系电话：</w:t>
      </w:r>
      <w:r>
        <w:rPr>
          <w:rFonts w:hint="eastAsia" w:ascii="仿宋" w:hAnsi="仿宋" w:eastAsia="仿宋" w:cs="仿宋"/>
          <w:color w:val="000000" w:themeColor="text1"/>
          <w:sz w:val="32"/>
          <w:szCs w:val="32"/>
          <w:highlight w:val="none"/>
          <w:u w:val="single"/>
          <w14:textFill>
            <w14:solidFill>
              <w14:schemeClr w14:val="tx1"/>
            </w14:solidFill>
          </w14:textFill>
        </w:rPr>
        <w:t xml:space="preserve">                              </w:t>
      </w:r>
      <w:r/>
    </w:p>
    <w:p>
      <w:pPr>
        <w:ind w:firstLine="198"/>
        <w:keepLines w:val="0"/>
        <w:keepNext w:val="0"/>
        <w:pageBreakBefore w:val="0"/>
        <w:spacing w:line="500" w:lineRule="exact"/>
        <w:widowControl w:val="off"/>
        <w:rPr>
          <w:rFonts w:ascii="仿宋" w:hAnsi="仿宋" w:eastAsia="仿宋" w:cs="仿宋"/>
          <w:color w:val="000000" w:themeColor="text1"/>
          <w:sz w:val="32"/>
          <w:szCs w:val="32"/>
          <w:highlight w:val="none"/>
          <w:u w:val="single"/>
          <w14:textFill>
            <w14:solidFill>
              <w14:schemeClr w14:val="tx1"/>
            </w14:solidFill>
          </w14:textFill>
        </w:rPr>
        <w:outlineLvl w:val="9"/>
      </w:pPr>
      <w:r>
        <w:rPr>
          <w:rFonts w:hint="eastAsia" w:ascii="仿宋" w:hAnsi="仿宋" w:eastAsia="仿宋" w:cs="仿宋"/>
          <w:color w:val="000000" w:themeColor="text1"/>
          <w:sz w:val="32"/>
          <w:szCs w:val="32"/>
          <w:highlight w:val="none"/>
          <w14:textFill>
            <w14:solidFill>
              <w14:schemeClr w14:val="tx1"/>
            </w14:solidFill>
          </w14:textFill>
        </w:rPr>
        <w:t xml:space="preserve">授权代表：</w:t>
      </w:r>
      <w:r>
        <w:rPr>
          <w:rFonts w:hint="eastAsia" w:ascii="仿宋" w:hAnsi="仿宋" w:eastAsia="仿宋" w:cs="仿宋"/>
          <w:color w:val="000000" w:themeColor="text1"/>
          <w:sz w:val="32"/>
          <w:szCs w:val="32"/>
          <w:highlight w:val="none"/>
          <w:u w:val="single"/>
          <w14:textFill>
            <w14:solidFill>
              <w14:schemeClr w14:val="tx1"/>
            </w14:solidFill>
          </w14:textFill>
        </w:rPr>
        <w:t xml:space="preserve">                                          </w:t>
      </w:r>
      <w:r/>
    </w:p>
    <w:p>
      <w:pPr>
        <w:ind w:firstLine="198"/>
        <w:keepLines w:val="0"/>
        <w:keepNext w:val="0"/>
        <w:pageBreakBefore w:val="0"/>
        <w:spacing w:line="500" w:lineRule="exact"/>
        <w:widowControl w:val="off"/>
        <w:rPr>
          <w:rFonts w:ascii="仿宋" w:hAnsi="仿宋" w:eastAsia="仿宋" w:cs="仿宋"/>
          <w:color w:val="000000" w:themeColor="text1"/>
          <w:sz w:val="32"/>
          <w:szCs w:val="32"/>
          <w:highlight w:val="none"/>
          <w14:textFill>
            <w14:solidFill>
              <w14:schemeClr w14:val="tx1"/>
            </w14:solidFill>
          </w14:textFill>
        </w:rPr>
        <w:outlineLvl w:val="9"/>
      </w:pPr>
      <w:r>
        <w:rPr>
          <w:rFonts w:hint="eastAsia" w:ascii="仿宋" w:hAnsi="仿宋" w:eastAsia="仿宋" w:cs="仿宋"/>
          <w:color w:val="000000" w:themeColor="text1"/>
          <w:sz w:val="32"/>
          <w:szCs w:val="32"/>
          <w:highlight w:val="none"/>
          <w14:textFill>
            <w14:solidFill>
              <w14:schemeClr w14:val="tx1"/>
            </w14:solidFill>
          </w14:textFill>
        </w:rPr>
        <w:t xml:space="preserve">联系电话：</w:t>
      </w:r>
      <w:r>
        <w:rPr>
          <w:rFonts w:hint="eastAsia" w:ascii="仿宋" w:hAnsi="仿宋" w:eastAsia="仿宋" w:cs="仿宋"/>
          <w:color w:val="000000" w:themeColor="text1"/>
          <w:sz w:val="32"/>
          <w:szCs w:val="32"/>
          <w:highlight w:val="none"/>
          <w:u w:val="single"/>
          <w14:textFill>
            <w14:solidFill>
              <w14:schemeClr w14:val="tx1"/>
            </w14:solidFill>
          </w14:textFill>
        </w:rPr>
        <w:t xml:space="preserve">                                           </w:t>
      </w:r>
      <w:r>
        <w:rPr>
          <w:rFonts w:ascii="仿宋" w:hAnsi="仿宋" w:eastAsia="仿宋" w:cs="仿宋"/>
          <w:color w:val="000000" w:themeColor="text1"/>
          <w:sz w:val="32"/>
          <w:szCs w:val="32"/>
          <w:highlight w:val="none"/>
          <w14:textFill>
            <w14:solidFill>
              <w14:schemeClr w14:val="tx1"/>
            </w14:solidFill>
          </w14:textFill>
        </w:rPr>
        <w:t xml:space="preserve"> </w:t>
      </w:r>
      <w:r/>
    </w:p>
    <w:p>
      <w:pPr>
        <w:ind w:firstLine="198"/>
        <w:keepLines w:val="0"/>
        <w:keepNext w:val="0"/>
        <w:pageBreakBefore w:val="0"/>
        <w:spacing w:line="500" w:lineRule="exact"/>
        <w:widowControl w:val="off"/>
        <w:rPr>
          <w:rFonts w:ascii="仿宋" w:hAnsi="仿宋" w:eastAsia="仿宋" w:cs="仿宋"/>
          <w:color w:val="000000" w:themeColor="text1"/>
          <w:sz w:val="32"/>
          <w:szCs w:val="32"/>
          <w:highlight w:val="none"/>
          <w14:textFill>
            <w14:solidFill>
              <w14:schemeClr w14:val="tx1"/>
            </w14:solidFill>
          </w14:textFill>
        </w:rPr>
        <w:outlineLvl w:val="9"/>
      </w:pPr>
      <w:r>
        <w:rPr>
          <w:rFonts w:hint="eastAsia" w:ascii="仿宋" w:hAnsi="仿宋" w:eastAsia="仿宋" w:cs="仿宋"/>
          <w:color w:val="000000" w:themeColor="text1"/>
          <w:sz w:val="32"/>
          <w:szCs w:val="32"/>
          <w:highlight w:val="none"/>
          <w14:textFill>
            <w14:solidFill>
              <w14:schemeClr w14:val="tx1"/>
            </w14:solidFill>
          </w14:textFill>
        </w:rPr>
        <w:t xml:space="preserve">地址：</w:t>
      </w:r>
      <w:r>
        <w:rPr>
          <w:rFonts w:ascii="仿宋" w:hAnsi="仿宋" w:eastAsia="仿宋" w:cs="仿宋"/>
          <w:color w:val="000000" w:themeColor="text1"/>
          <w:sz w:val="32"/>
          <w:szCs w:val="32"/>
          <w:highlight w:val="none"/>
          <w14:textFill>
            <w14:solidFill>
              <w14:schemeClr w14:val="tx1"/>
            </w14:solidFill>
          </w14:textFill>
        </w:rPr>
        <w:t xml:space="preserve"> </w:t>
      </w:r>
      <w:r>
        <w:rPr>
          <w:rFonts w:hint="eastAsia" w:ascii="仿宋" w:hAnsi="仿宋" w:eastAsia="仿宋" w:cs="仿宋"/>
          <w:color w:val="000000" w:themeColor="text1"/>
          <w:sz w:val="32"/>
          <w:szCs w:val="32"/>
          <w:highlight w:val="none"/>
          <w:u w:val="single"/>
          <w14:textFill>
            <w14:solidFill>
              <w14:schemeClr w14:val="tx1"/>
            </w14:solidFill>
          </w14:textFill>
        </w:rPr>
        <w:t xml:space="preserve">                        </w:t>
      </w:r>
      <w:r>
        <w:rPr>
          <w:rFonts w:hint="eastAsia" w:ascii="仿宋" w:hAnsi="仿宋" w:eastAsia="仿宋" w:cs="仿宋"/>
          <w:color w:val="000000" w:themeColor="text1"/>
          <w:sz w:val="32"/>
          <w:szCs w:val="32"/>
          <w:highlight w:val="none"/>
          <w14:textFill>
            <w14:solidFill>
              <w14:schemeClr w14:val="tx1"/>
            </w14:solidFill>
          </w14:textFill>
        </w:rPr>
        <w:t xml:space="preserve">邮编：</w:t>
      </w:r>
      <w:r>
        <w:rPr>
          <w:rFonts w:hint="eastAsia" w:ascii="仿宋" w:hAnsi="仿宋" w:eastAsia="仿宋" w:cs="仿宋"/>
          <w:color w:val="000000" w:themeColor="text1"/>
          <w:sz w:val="32"/>
          <w:szCs w:val="32"/>
          <w:highlight w:val="none"/>
          <w:u w:val="single"/>
          <w14:textFill>
            <w14:solidFill>
              <w14:schemeClr w14:val="tx1"/>
            </w14:solidFill>
          </w14:textFill>
        </w:rPr>
        <w:t xml:space="preserve">                                                </w:t>
      </w:r>
      <w:r/>
    </w:p>
    <w:p>
      <w:pPr>
        <w:ind w:firstLine="198"/>
        <w:keepLines w:val="0"/>
        <w:keepNext w:val="0"/>
        <w:pageBreakBefore w:val="0"/>
        <w:spacing w:line="500" w:lineRule="exact"/>
        <w:widowControl w:val="off"/>
        <w:rPr>
          <w:rFonts w:ascii="黑体" w:hAnsi="黑体" w:eastAsia="黑体" w:cs="仿宋"/>
          <w:bCs/>
          <w:color w:val="000000" w:themeColor="text1"/>
          <w:sz w:val="32"/>
          <w:szCs w:val="32"/>
          <w:highlight w:val="none"/>
          <w14:textFill>
            <w14:solidFill>
              <w14:schemeClr w14:val="tx1"/>
            </w14:solidFill>
          </w14:textFill>
        </w:rPr>
        <w:outlineLvl w:val="9"/>
      </w:pPr>
      <w:r>
        <w:rPr>
          <w:rFonts w:hint="eastAsia" w:ascii="黑体" w:hAnsi="黑体" w:eastAsia="黑体" w:cs="仿宋"/>
          <w:bCs/>
          <w:color w:val="000000" w:themeColor="text1"/>
          <w:sz w:val="32"/>
          <w:szCs w:val="32"/>
          <w:highlight w:val="none"/>
          <w14:textFill>
            <w14:solidFill>
              <w14:schemeClr w14:val="tx1"/>
            </w14:solidFill>
          </w14:textFill>
        </w:rPr>
        <w:t xml:space="preserve">二、质疑项目基本情况</w:t>
      </w:r>
      <w:r/>
    </w:p>
    <w:p>
      <w:pPr>
        <w:ind w:firstLine="198"/>
        <w:keepLines w:val="0"/>
        <w:keepNext w:val="0"/>
        <w:pageBreakBefore w:val="0"/>
        <w:spacing w:line="500" w:lineRule="exact"/>
        <w:widowControl w:val="off"/>
        <w:rPr>
          <w:rFonts w:ascii="仿宋" w:hAnsi="仿宋" w:eastAsia="仿宋" w:cs="仿宋"/>
          <w:color w:val="000000" w:themeColor="text1"/>
          <w:sz w:val="32"/>
          <w:szCs w:val="32"/>
          <w:highlight w:val="none"/>
          <w14:textFill>
            <w14:solidFill>
              <w14:schemeClr w14:val="tx1"/>
            </w14:solidFill>
          </w14:textFill>
        </w:rPr>
        <w:outlineLvl w:val="9"/>
      </w:pPr>
      <w:r>
        <w:rPr>
          <w:rFonts w:hint="eastAsia" w:ascii="仿宋" w:hAnsi="仿宋" w:eastAsia="仿宋" w:cs="仿宋"/>
          <w:color w:val="000000" w:themeColor="text1"/>
          <w:sz w:val="32"/>
          <w:szCs w:val="32"/>
          <w:highlight w:val="none"/>
          <w14:textFill>
            <w14:solidFill>
              <w14:schemeClr w14:val="tx1"/>
            </w14:solidFill>
          </w14:textFill>
        </w:rPr>
        <w:t xml:space="preserve">质疑项目的名称：</w:t>
      </w:r>
      <w:r>
        <w:rPr>
          <w:rFonts w:hint="eastAsia" w:ascii="仿宋" w:hAnsi="仿宋" w:eastAsia="仿宋" w:cs="仿宋"/>
          <w:color w:val="000000" w:themeColor="text1"/>
          <w:sz w:val="32"/>
          <w:szCs w:val="32"/>
          <w:highlight w:val="none"/>
          <w:u w:val="single"/>
          <w14:textFill>
            <w14:solidFill>
              <w14:schemeClr w14:val="tx1"/>
            </w14:solidFill>
          </w14:textFill>
        </w:rPr>
        <w:t xml:space="preserve">                                      </w:t>
      </w:r>
      <w:r/>
    </w:p>
    <w:p>
      <w:pPr>
        <w:ind w:firstLine="198"/>
        <w:keepLines w:val="0"/>
        <w:keepNext w:val="0"/>
        <w:pageBreakBefore w:val="0"/>
        <w:spacing w:line="500" w:lineRule="exact"/>
        <w:widowControl w:val="off"/>
        <w:rPr>
          <w:rFonts w:ascii="仿宋" w:hAnsi="仿宋" w:eastAsia="仿宋" w:cs="仿宋"/>
          <w:color w:val="000000" w:themeColor="text1"/>
          <w:sz w:val="32"/>
          <w:szCs w:val="32"/>
          <w:highlight w:val="none"/>
          <w14:textFill>
            <w14:solidFill>
              <w14:schemeClr w14:val="tx1"/>
            </w14:solidFill>
          </w14:textFill>
        </w:rPr>
        <w:outlineLvl w:val="9"/>
      </w:pPr>
      <w:r>
        <w:rPr>
          <w:rFonts w:hint="eastAsia" w:ascii="仿宋" w:hAnsi="仿宋" w:eastAsia="仿宋" w:cs="仿宋"/>
          <w:color w:val="000000" w:themeColor="text1"/>
          <w:sz w:val="32"/>
          <w:szCs w:val="32"/>
          <w:highlight w:val="none"/>
          <w14:textFill>
            <w14:solidFill>
              <w14:schemeClr w14:val="tx1"/>
            </w14:solidFill>
          </w14:textFill>
        </w:rPr>
        <w:t xml:space="preserve">质疑项目的编号：</w:t>
      </w:r>
      <w:r>
        <w:rPr>
          <w:rFonts w:hint="eastAsia" w:ascii="仿宋" w:hAnsi="仿宋" w:eastAsia="仿宋" w:cs="仿宋"/>
          <w:color w:val="000000" w:themeColor="text1"/>
          <w:sz w:val="32"/>
          <w:szCs w:val="32"/>
          <w:highlight w:val="none"/>
          <w:u w:val="single"/>
          <w14:textFill>
            <w14:solidFill>
              <w14:schemeClr w14:val="tx1"/>
            </w14:solidFill>
          </w14:textFill>
        </w:rPr>
        <w:t xml:space="preserve">               </w:t>
      </w:r>
      <w:r>
        <w:rPr>
          <w:rFonts w:hint="eastAsia" w:ascii="仿宋" w:hAnsi="仿宋" w:eastAsia="仿宋" w:cs="仿宋"/>
          <w:color w:val="000000" w:themeColor="text1"/>
          <w:sz w:val="32"/>
          <w:szCs w:val="32"/>
          <w:highlight w:val="none"/>
          <w14:textFill>
            <w14:solidFill>
              <w14:schemeClr w14:val="tx1"/>
            </w14:solidFill>
          </w14:textFill>
        </w:rPr>
        <w:t xml:space="preserve">包号：</w:t>
      </w:r>
      <w:r>
        <w:rPr>
          <w:rFonts w:hint="eastAsia" w:ascii="仿宋" w:hAnsi="仿宋" w:eastAsia="仿宋" w:cs="仿宋"/>
          <w:color w:val="000000" w:themeColor="text1"/>
          <w:sz w:val="32"/>
          <w:szCs w:val="32"/>
          <w:highlight w:val="none"/>
          <w:u w:val="single"/>
          <w14:textFill>
            <w14:solidFill>
              <w14:schemeClr w14:val="tx1"/>
            </w14:solidFill>
          </w14:textFill>
        </w:rPr>
        <w:t xml:space="preserve">                 </w:t>
      </w:r>
      <w:r/>
    </w:p>
    <w:p>
      <w:pPr>
        <w:ind w:firstLine="198"/>
        <w:keepLines w:val="0"/>
        <w:keepNext w:val="0"/>
        <w:pageBreakBefore w:val="0"/>
        <w:spacing w:line="500" w:lineRule="exact"/>
        <w:widowControl w:val="off"/>
        <w:rPr>
          <w:rFonts w:ascii="仿宋" w:hAnsi="仿宋" w:eastAsia="仿宋" w:cs="仿宋"/>
          <w:color w:val="000000" w:themeColor="text1"/>
          <w:sz w:val="32"/>
          <w:szCs w:val="32"/>
          <w:highlight w:val="none"/>
          <w:u w:val="single"/>
          <w14:textFill>
            <w14:solidFill>
              <w14:schemeClr w14:val="tx1"/>
            </w14:solidFill>
          </w14:textFill>
        </w:rPr>
        <w:outlineLvl w:val="9"/>
      </w:pPr>
      <w:r>
        <w:rPr>
          <w:rFonts w:hint="eastAsia" w:ascii="仿宋" w:hAnsi="仿宋" w:eastAsia="仿宋" w:cs="仿宋"/>
          <w:color w:val="000000" w:themeColor="text1"/>
          <w:sz w:val="32"/>
          <w:szCs w:val="32"/>
          <w:highlight w:val="none"/>
          <w14:textFill>
            <w14:solidFill>
              <w14:schemeClr w14:val="tx1"/>
            </w14:solidFill>
          </w14:textFill>
        </w:rPr>
        <w:t xml:space="preserve">采购人名称：</w:t>
      </w:r>
      <w:r>
        <w:rPr>
          <w:rFonts w:hint="eastAsia" w:ascii="仿宋" w:hAnsi="仿宋" w:eastAsia="仿宋" w:cs="仿宋"/>
          <w:color w:val="000000" w:themeColor="text1"/>
          <w:sz w:val="32"/>
          <w:szCs w:val="32"/>
          <w:highlight w:val="none"/>
          <w:u w:val="single"/>
          <w14:textFill>
            <w14:solidFill>
              <w14:schemeClr w14:val="tx1"/>
            </w14:solidFill>
          </w14:textFill>
        </w:rPr>
        <w:t xml:space="preserve">                                         </w:t>
      </w:r>
      <w:r/>
    </w:p>
    <w:p>
      <w:pPr>
        <w:ind w:firstLine="198"/>
        <w:keepLines w:val="0"/>
        <w:keepNext w:val="0"/>
        <w:pageBreakBefore w:val="0"/>
        <w:spacing w:line="500" w:lineRule="exact"/>
        <w:widowControl w:val="off"/>
        <w:rPr>
          <w:rFonts w:ascii="仿宋" w:hAnsi="仿宋" w:eastAsia="仿宋" w:cs="仿宋"/>
          <w:color w:val="000000" w:themeColor="text1"/>
          <w:sz w:val="32"/>
          <w:szCs w:val="32"/>
          <w:highlight w:val="none"/>
          <w14:textFill>
            <w14:solidFill>
              <w14:schemeClr w14:val="tx1"/>
            </w14:solidFill>
          </w14:textFill>
        </w:rPr>
        <w:outlineLvl w:val="9"/>
      </w:pPr>
      <w:r>
        <w:rPr>
          <w:rFonts w:hint="eastAsia" w:ascii="仿宋" w:hAnsi="仿宋" w:eastAsia="仿宋" w:cs="仿宋"/>
          <w:color w:val="000000" w:themeColor="text1"/>
          <w:sz w:val="32"/>
          <w:szCs w:val="32"/>
          <w:highlight w:val="none"/>
          <w14:textFill>
            <w14:solidFill>
              <w14:schemeClr w14:val="tx1"/>
            </w14:solidFill>
          </w14:textFill>
        </w:rPr>
        <w:t xml:space="preserve">采购文件获取日期：</w:t>
      </w:r>
      <w:r>
        <w:rPr>
          <w:rFonts w:hint="eastAsia" w:ascii="仿宋" w:hAnsi="仿宋" w:eastAsia="仿宋" w:cs="仿宋"/>
          <w:color w:val="000000" w:themeColor="text1"/>
          <w:sz w:val="32"/>
          <w:szCs w:val="32"/>
          <w:highlight w:val="none"/>
          <w:u w:val="single"/>
          <w14:textFill>
            <w14:solidFill>
              <w14:schemeClr w14:val="tx1"/>
            </w14:solidFill>
          </w14:textFill>
        </w:rPr>
        <w:t xml:space="preserve">                                           </w:t>
      </w:r>
      <w:r/>
    </w:p>
    <w:p>
      <w:pPr>
        <w:ind w:firstLine="198"/>
        <w:keepLines w:val="0"/>
        <w:keepNext w:val="0"/>
        <w:pageBreakBefore w:val="0"/>
        <w:spacing w:line="500" w:lineRule="exact"/>
        <w:widowControl w:val="off"/>
        <w:rPr>
          <w:rFonts w:ascii="黑体" w:hAnsi="黑体" w:eastAsia="黑体" w:cs="仿宋"/>
          <w:bCs/>
          <w:color w:val="000000" w:themeColor="text1"/>
          <w:sz w:val="32"/>
          <w:szCs w:val="32"/>
          <w:highlight w:val="none"/>
          <w14:textFill>
            <w14:solidFill>
              <w14:schemeClr w14:val="tx1"/>
            </w14:solidFill>
          </w14:textFill>
        </w:rPr>
        <w:outlineLvl w:val="9"/>
      </w:pPr>
      <w:r>
        <w:rPr>
          <w:rFonts w:hint="eastAsia" w:ascii="黑体" w:hAnsi="黑体" w:eastAsia="黑体" w:cs="仿宋"/>
          <w:bCs/>
          <w:color w:val="000000" w:themeColor="text1"/>
          <w:sz w:val="32"/>
          <w:szCs w:val="32"/>
          <w:highlight w:val="none"/>
          <w14:textFill>
            <w14:solidFill>
              <w14:schemeClr w14:val="tx1"/>
            </w14:solidFill>
          </w14:textFill>
        </w:rPr>
        <w:t xml:space="preserve">三、质疑事项具体内容</w:t>
      </w:r>
      <w:r/>
    </w:p>
    <w:p>
      <w:pPr>
        <w:ind w:firstLine="198"/>
        <w:keepLines w:val="0"/>
        <w:keepNext w:val="0"/>
        <w:pageBreakBefore w:val="0"/>
        <w:spacing w:line="500" w:lineRule="exact"/>
        <w:widowControl w:val="off"/>
        <w:rPr>
          <w:rFonts w:ascii="仿宋" w:hAnsi="仿宋" w:eastAsia="仿宋" w:cs="仿宋"/>
          <w:color w:val="000000" w:themeColor="text1"/>
          <w:sz w:val="32"/>
          <w:szCs w:val="32"/>
          <w:highlight w:val="none"/>
          <w:u w:val="single"/>
          <w14:textFill>
            <w14:solidFill>
              <w14:schemeClr w14:val="tx1"/>
            </w14:solidFill>
          </w14:textFill>
        </w:rPr>
        <w:outlineLvl w:val="9"/>
      </w:pPr>
      <w:r>
        <w:rPr>
          <w:rFonts w:hint="eastAsia" w:ascii="仿宋" w:hAnsi="仿宋" w:eastAsia="仿宋" w:cs="仿宋"/>
          <w:color w:val="000000" w:themeColor="text1"/>
          <w:sz w:val="32"/>
          <w:szCs w:val="32"/>
          <w:highlight w:val="none"/>
          <w14:textFill>
            <w14:solidFill>
              <w14:schemeClr w14:val="tx1"/>
            </w14:solidFill>
          </w14:textFill>
        </w:rPr>
        <w:t xml:space="preserve">质疑事项1：</w:t>
      </w:r>
      <w:r>
        <w:rPr>
          <w:rFonts w:hint="eastAsia" w:ascii="仿宋" w:hAnsi="仿宋" w:eastAsia="仿宋" w:cs="仿宋"/>
          <w:color w:val="000000" w:themeColor="text1"/>
          <w:sz w:val="32"/>
          <w:szCs w:val="32"/>
          <w:highlight w:val="none"/>
          <w:u w:val="single"/>
          <w14:textFill>
            <w14:solidFill>
              <w14:schemeClr w14:val="tx1"/>
            </w14:solidFill>
          </w14:textFill>
        </w:rPr>
        <w:t xml:space="preserve">                                         </w:t>
      </w:r>
      <w:r/>
    </w:p>
    <w:p>
      <w:pPr>
        <w:ind w:firstLine="198"/>
        <w:keepLines w:val="0"/>
        <w:keepNext w:val="0"/>
        <w:pageBreakBefore w:val="0"/>
        <w:spacing w:line="500" w:lineRule="exact"/>
        <w:widowControl w:val="off"/>
        <w:rPr>
          <w:rFonts w:ascii="仿宋" w:hAnsi="仿宋" w:eastAsia="仿宋" w:cs="仿宋"/>
          <w:color w:val="000000" w:themeColor="text1"/>
          <w:sz w:val="32"/>
          <w:szCs w:val="32"/>
          <w:highlight w:val="none"/>
          <w:u w:val="single"/>
          <w14:textFill>
            <w14:solidFill>
              <w14:schemeClr w14:val="tx1"/>
            </w14:solidFill>
          </w14:textFill>
        </w:rPr>
        <w:outlineLvl w:val="9"/>
      </w:pPr>
      <w:r>
        <w:rPr>
          <w:rFonts w:hint="eastAsia" w:ascii="仿宋" w:hAnsi="仿宋" w:eastAsia="仿宋" w:cs="仿宋"/>
          <w:color w:val="000000" w:themeColor="text1"/>
          <w:sz w:val="32"/>
          <w:szCs w:val="32"/>
          <w:highlight w:val="none"/>
          <w14:textFill>
            <w14:solidFill>
              <w14:schemeClr w14:val="tx1"/>
            </w14:solidFill>
          </w14:textFill>
        </w:rPr>
        <w:t xml:space="preserve">事实依据：</w:t>
      </w:r>
      <w:r>
        <w:rPr>
          <w:rFonts w:hint="eastAsia" w:ascii="仿宋" w:hAnsi="仿宋" w:eastAsia="仿宋" w:cs="仿宋"/>
          <w:color w:val="000000" w:themeColor="text1"/>
          <w:sz w:val="32"/>
          <w:szCs w:val="32"/>
          <w:highlight w:val="none"/>
          <w:u w:val="single"/>
          <w14:textFill>
            <w14:solidFill>
              <w14:schemeClr w14:val="tx1"/>
            </w14:solidFill>
          </w14:textFill>
        </w:rPr>
        <w:t xml:space="preserve">                                          </w:t>
      </w:r>
      <w:r/>
    </w:p>
    <w:p>
      <w:pPr>
        <w:ind w:firstLine="198"/>
        <w:keepLines w:val="0"/>
        <w:keepNext w:val="0"/>
        <w:pageBreakBefore w:val="0"/>
        <w:spacing w:line="500" w:lineRule="exact"/>
        <w:widowControl w:val="off"/>
        <w:rPr>
          <w:rFonts w:ascii="仿宋" w:hAnsi="仿宋" w:eastAsia="仿宋" w:cs="仿宋"/>
          <w:color w:val="000000" w:themeColor="text1"/>
          <w:sz w:val="32"/>
          <w:szCs w:val="32"/>
          <w:highlight w:val="none"/>
          <w14:textFill>
            <w14:solidFill>
              <w14:schemeClr w14:val="tx1"/>
            </w14:solidFill>
          </w14:textFill>
        </w:rPr>
        <w:outlineLvl w:val="9"/>
      </w:pPr>
      <w:r>
        <w:rPr>
          <w:rFonts w:hint="eastAsia" w:ascii="仿宋" w:hAnsi="仿宋" w:eastAsia="仿宋" w:cs="仿宋"/>
          <w:color w:val="000000" w:themeColor="text1"/>
          <w:sz w:val="32"/>
          <w:szCs w:val="32"/>
          <w:highlight w:val="none"/>
          <w:u w:val="single"/>
          <w14:textFill>
            <w14:solidFill>
              <w14:schemeClr w14:val="tx1"/>
            </w14:solidFill>
          </w14:textFill>
        </w:rPr>
        <w:t xml:space="preserve">                                                       </w:t>
      </w:r>
      <w:r/>
    </w:p>
    <w:p>
      <w:pPr>
        <w:ind w:firstLine="198"/>
        <w:keepLines w:val="0"/>
        <w:keepNext w:val="0"/>
        <w:pageBreakBefore w:val="0"/>
        <w:spacing w:line="500" w:lineRule="exact"/>
        <w:widowControl w:val="off"/>
        <w:rPr>
          <w:rFonts w:ascii="仿宋" w:hAnsi="仿宋" w:eastAsia="仿宋" w:cs="仿宋"/>
          <w:color w:val="000000" w:themeColor="text1"/>
          <w:sz w:val="32"/>
          <w:szCs w:val="32"/>
          <w:highlight w:val="none"/>
          <w:u w:val="single"/>
          <w14:textFill>
            <w14:solidFill>
              <w14:schemeClr w14:val="tx1"/>
            </w14:solidFill>
          </w14:textFill>
        </w:rPr>
        <w:outlineLvl w:val="9"/>
      </w:pPr>
      <w:r>
        <w:rPr>
          <w:rFonts w:hint="eastAsia" w:ascii="仿宋" w:hAnsi="仿宋" w:eastAsia="仿宋" w:cs="仿宋"/>
          <w:color w:val="000000" w:themeColor="text1"/>
          <w:sz w:val="32"/>
          <w:szCs w:val="32"/>
          <w:highlight w:val="none"/>
          <w14:textFill>
            <w14:solidFill>
              <w14:schemeClr w14:val="tx1"/>
            </w14:solidFill>
          </w14:textFill>
        </w:rPr>
        <w:t xml:space="preserve">法律依据：</w:t>
      </w:r>
      <w:r>
        <w:rPr>
          <w:rFonts w:hint="eastAsia" w:ascii="仿宋" w:hAnsi="仿宋" w:eastAsia="仿宋" w:cs="仿宋"/>
          <w:color w:val="000000" w:themeColor="text1"/>
          <w:sz w:val="32"/>
          <w:szCs w:val="32"/>
          <w:highlight w:val="none"/>
          <w:u w:val="single"/>
          <w14:textFill>
            <w14:solidFill>
              <w14:schemeClr w14:val="tx1"/>
            </w14:solidFill>
          </w14:textFill>
        </w:rPr>
        <w:t xml:space="preserve">                                          </w:t>
      </w:r>
      <w:r/>
    </w:p>
    <w:p>
      <w:pPr>
        <w:ind w:firstLine="198"/>
        <w:keepLines w:val="0"/>
        <w:keepNext w:val="0"/>
        <w:pageBreakBefore w:val="0"/>
        <w:spacing w:line="500" w:lineRule="exact"/>
        <w:widowControl w:val="off"/>
        <w:rPr>
          <w:rFonts w:ascii="仿宋" w:hAnsi="仿宋" w:eastAsia="仿宋" w:cs="仿宋"/>
          <w:color w:val="000000" w:themeColor="text1"/>
          <w:sz w:val="32"/>
          <w:szCs w:val="32"/>
          <w:highlight w:val="none"/>
          <w:u w:val="single"/>
          <w14:textFill>
            <w14:solidFill>
              <w14:schemeClr w14:val="tx1"/>
            </w14:solidFill>
          </w14:textFill>
        </w:rPr>
        <w:outlineLvl w:val="9"/>
      </w:pPr>
      <w:r>
        <w:rPr>
          <w:rFonts w:hint="eastAsia" w:ascii="仿宋" w:hAnsi="仿宋" w:eastAsia="仿宋" w:cs="仿宋"/>
          <w:color w:val="000000" w:themeColor="text1"/>
          <w:sz w:val="32"/>
          <w:szCs w:val="32"/>
          <w:highlight w:val="none"/>
          <w:u w:val="single"/>
          <w14:textFill>
            <w14:solidFill>
              <w14:schemeClr w14:val="tx1"/>
            </w14:solidFill>
          </w14:textFill>
        </w:rPr>
        <w:t xml:space="preserve">                                                     </w:t>
      </w:r>
      <w:r/>
    </w:p>
    <w:p>
      <w:pPr>
        <w:ind w:firstLine="198"/>
        <w:keepLines w:val="0"/>
        <w:keepNext w:val="0"/>
        <w:pageBreakBefore w:val="0"/>
        <w:spacing w:line="500" w:lineRule="exact"/>
        <w:widowControl w:val="off"/>
        <w:rPr>
          <w:rFonts w:ascii="仿宋" w:hAnsi="仿宋" w:eastAsia="仿宋" w:cs="仿宋"/>
          <w:color w:val="000000" w:themeColor="text1"/>
          <w:sz w:val="32"/>
          <w:szCs w:val="32"/>
          <w:highlight w:val="none"/>
          <w:u w:val="single"/>
          <w14:textFill>
            <w14:solidFill>
              <w14:schemeClr w14:val="tx1"/>
            </w14:solidFill>
          </w14:textFill>
        </w:rPr>
        <w:outlineLvl w:val="9"/>
      </w:pPr>
      <w:r>
        <w:rPr>
          <w:rFonts w:hint="eastAsia" w:ascii="仿宋" w:hAnsi="仿宋" w:eastAsia="仿宋" w:cs="仿宋"/>
          <w:color w:val="000000" w:themeColor="text1"/>
          <w:sz w:val="32"/>
          <w:szCs w:val="32"/>
          <w:highlight w:val="none"/>
          <w14:textFill>
            <w14:solidFill>
              <w14:schemeClr w14:val="tx1"/>
            </w14:solidFill>
          </w14:textFill>
        </w:rPr>
        <w:t xml:space="preserve">质疑事项2</w:t>
      </w:r>
      <w:r/>
    </w:p>
    <w:p>
      <w:pPr>
        <w:ind w:firstLine="198"/>
        <w:keepLines w:val="0"/>
        <w:keepNext w:val="0"/>
        <w:pageBreakBefore w:val="0"/>
        <w:spacing w:line="500" w:lineRule="exact"/>
        <w:widowControl w:val="off"/>
        <w:rPr>
          <w:rFonts w:ascii="仿宋" w:hAnsi="仿宋" w:eastAsia="仿宋" w:cs="仿宋"/>
          <w:color w:val="000000" w:themeColor="text1"/>
          <w:sz w:val="32"/>
          <w:szCs w:val="32"/>
          <w:highlight w:val="none"/>
          <w14:textFill>
            <w14:solidFill>
              <w14:schemeClr w14:val="tx1"/>
            </w14:solidFill>
          </w14:textFill>
        </w:rPr>
        <w:outlineLvl w:val="9"/>
      </w:pPr>
      <w:r>
        <w:rPr>
          <w:rFonts w:hint="eastAsia" w:ascii="仿宋" w:hAnsi="仿宋" w:eastAsia="仿宋" w:cs="仿宋"/>
          <w:color w:val="000000" w:themeColor="text1"/>
          <w:sz w:val="32"/>
          <w:szCs w:val="32"/>
          <w:highlight w:val="none"/>
          <w14:textFill>
            <w14:solidFill>
              <w14:schemeClr w14:val="tx1"/>
            </w14:solidFill>
          </w14:textFill>
        </w:rPr>
        <w:t xml:space="preserve">……</w:t>
      </w:r>
      <w:r/>
    </w:p>
    <w:p>
      <w:pPr>
        <w:ind w:firstLine="198"/>
        <w:keepLines w:val="0"/>
        <w:keepNext w:val="0"/>
        <w:pageBreakBefore w:val="0"/>
        <w:spacing w:line="500" w:lineRule="exact"/>
        <w:widowControl w:val="off"/>
        <w:rPr>
          <w:rFonts w:ascii="黑体" w:hAnsi="黑体" w:eastAsia="黑体" w:cs="仿宋"/>
          <w:bCs/>
          <w:color w:val="000000" w:themeColor="text1"/>
          <w:sz w:val="32"/>
          <w:szCs w:val="32"/>
          <w:highlight w:val="none"/>
          <w14:textFill>
            <w14:solidFill>
              <w14:schemeClr w14:val="tx1"/>
            </w14:solidFill>
          </w14:textFill>
        </w:rPr>
        <w:outlineLvl w:val="9"/>
      </w:pPr>
      <w:r>
        <w:rPr>
          <w:rFonts w:hint="eastAsia" w:ascii="黑体" w:hAnsi="黑体" w:eastAsia="黑体" w:cs="仿宋"/>
          <w:bCs/>
          <w:color w:val="000000" w:themeColor="text1"/>
          <w:sz w:val="32"/>
          <w:szCs w:val="32"/>
          <w:highlight w:val="none"/>
          <w14:textFill>
            <w14:solidFill>
              <w14:schemeClr w14:val="tx1"/>
            </w14:solidFill>
          </w14:textFill>
        </w:rPr>
        <w:t xml:space="preserve">四、与质疑事项相关的质疑请求</w:t>
      </w:r>
      <w:r/>
    </w:p>
    <w:p>
      <w:pPr>
        <w:ind w:firstLine="198"/>
        <w:keepLines w:val="0"/>
        <w:keepNext w:val="0"/>
        <w:pageBreakBefore w:val="0"/>
        <w:spacing w:line="500" w:lineRule="exact"/>
        <w:widowControl w:val="off"/>
        <w:rPr>
          <w:rFonts w:ascii="仿宋" w:hAnsi="仿宋" w:eastAsia="仿宋" w:cs="仿宋"/>
          <w:color w:val="000000" w:themeColor="text1"/>
          <w:sz w:val="32"/>
          <w:szCs w:val="32"/>
          <w:highlight w:val="none"/>
          <w:u w:val="single"/>
          <w14:textFill>
            <w14:solidFill>
              <w14:schemeClr w14:val="tx1"/>
            </w14:solidFill>
          </w14:textFill>
        </w:rPr>
        <w:outlineLvl w:val="9"/>
      </w:pPr>
      <w:r>
        <w:rPr>
          <w:rFonts w:hint="eastAsia" w:ascii="仿宋" w:hAnsi="仿宋" w:eastAsia="仿宋" w:cs="仿宋"/>
          <w:color w:val="000000" w:themeColor="text1"/>
          <w:sz w:val="32"/>
          <w:szCs w:val="32"/>
          <w:highlight w:val="none"/>
          <w14:textFill>
            <w14:solidFill>
              <w14:schemeClr w14:val="tx1"/>
            </w14:solidFill>
          </w14:textFill>
        </w:rPr>
        <w:t xml:space="preserve">请求：</w:t>
      </w:r>
      <w:r>
        <w:rPr>
          <w:rFonts w:hint="eastAsia" w:ascii="仿宋" w:hAnsi="仿宋" w:eastAsia="仿宋" w:cs="仿宋"/>
          <w:color w:val="000000" w:themeColor="text1"/>
          <w:sz w:val="32"/>
          <w:szCs w:val="32"/>
          <w:highlight w:val="none"/>
          <w:u w:val="single"/>
          <w14:textFill>
            <w14:solidFill>
              <w14:schemeClr w14:val="tx1"/>
            </w14:solidFill>
          </w14:textFill>
        </w:rPr>
        <w:t xml:space="preserve">                                               </w:t>
      </w:r>
      <w:r/>
    </w:p>
    <w:p>
      <w:pPr>
        <w:ind w:firstLine="198"/>
        <w:keepLines w:val="0"/>
        <w:keepNext w:val="0"/>
        <w:pageBreakBefore w:val="0"/>
        <w:spacing w:line="500" w:lineRule="exact"/>
        <w:widowControl w:val="off"/>
        <w:rPr>
          <w:rFonts w:ascii="仿宋_GB2312" w:eastAsia="仿宋_GB2312"/>
          <w:color w:val="000000" w:themeColor="text1"/>
          <w:sz w:val="30"/>
          <w:szCs w:val="30"/>
          <w:highlight w:val="none"/>
          <w14:textFill>
            <w14:solidFill>
              <w14:schemeClr w14:val="tx1"/>
            </w14:solidFill>
          </w14:textFill>
        </w:rPr>
        <w:outlineLvl w:val="9"/>
      </w:pPr>
      <w:r>
        <w:rPr>
          <w:rFonts w:hint="eastAsia" w:ascii="仿宋_GB2312" w:eastAsia="仿宋_GB2312"/>
          <w:color w:val="000000" w:themeColor="text1"/>
          <w:sz w:val="30"/>
          <w:szCs w:val="30"/>
          <w:highlight w:val="none"/>
          <w14:textFill>
            <w14:solidFill>
              <w14:schemeClr w14:val="tx1"/>
            </w14:solidFill>
          </w14:textFill>
        </w:rPr>
        <w:t xml:space="preserve">签字(签章)：                   公章：                      </w:t>
      </w:r>
      <w:r/>
    </w:p>
    <w:p>
      <w:pPr>
        <w:ind w:firstLine="198"/>
        <w:keepLines w:val="0"/>
        <w:keepNext w:val="0"/>
        <w:pageBreakBefore w:val="0"/>
        <w:spacing w:line="500" w:lineRule="exact"/>
        <w:widowControl w:val="off"/>
        <w:rPr>
          <w:rFonts w:ascii="仿宋_GB2312" w:eastAsia="仿宋_GB2312"/>
          <w:color w:val="000000" w:themeColor="text1"/>
          <w:sz w:val="30"/>
          <w:szCs w:val="30"/>
          <w:highlight w:val="none"/>
          <w14:textFill>
            <w14:solidFill>
              <w14:schemeClr w14:val="tx1"/>
            </w14:solidFill>
          </w14:textFill>
        </w:rPr>
        <w:outlineLvl w:val="9"/>
      </w:pPr>
      <w:r>
        <w:rPr>
          <w:rFonts w:hint="eastAsia" w:ascii="仿宋_GB2312" w:eastAsia="仿宋_GB2312"/>
          <w:color w:val="000000" w:themeColor="text1"/>
          <w:sz w:val="30"/>
          <w:szCs w:val="30"/>
          <w:highlight w:val="none"/>
          <w14:textFill>
            <w14:solidFill>
              <w14:schemeClr w14:val="tx1"/>
            </w14:solidFill>
          </w14:textFill>
        </w:rPr>
        <w:t xml:space="preserve">日期：    </w:t>
      </w:r>
      <w:r/>
    </w:p>
    <w:p>
      <w:pPr>
        <w:ind w:firstLine="198"/>
        <w:keepLines w:val="0"/>
        <w:keepNext w:val="0"/>
        <w:pageBreakBefore w:val="0"/>
        <w:spacing w:line="440" w:lineRule="exact"/>
        <w:widowControl w:val="off"/>
        <w:rPr>
          <w:rFonts w:ascii="仿宋" w:hAnsi="仿宋" w:eastAsia="仿宋" w:cs="仿宋"/>
          <w:color w:val="000000" w:themeColor="text1"/>
          <w:sz w:val="32"/>
          <w:szCs w:val="32"/>
          <w:highlight w:val="none"/>
          <w14:textFill>
            <w14:solidFill>
              <w14:schemeClr w14:val="tx1"/>
            </w14:solidFill>
          </w14:textFill>
        </w:rPr>
        <w:outlineLvl w:val="9"/>
      </w:pPr>
      <w:r>
        <w:rPr>
          <w:rFonts w:ascii="仿宋" w:hAnsi="仿宋" w:eastAsia="仿宋" w:cs="仿宋"/>
          <w:color w:val="000000" w:themeColor="text1"/>
          <w:sz w:val="32"/>
          <w:szCs w:val="32"/>
          <w:highlight w:val="none"/>
          <w14:textFill>
            <w14:solidFill>
              <w14:schemeClr w14:val="tx1"/>
            </w14:solidFill>
          </w14:textFill>
        </w:rPr>
      </w:r>
      <w:r/>
    </w:p>
    <w:p>
      <w:pPr>
        <w:ind w:firstLine="198"/>
        <w:keepLines w:val="0"/>
        <w:keepNext w:val="0"/>
        <w:pageBreakBefore w:val="0"/>
        <w:spacing w:line="440" w:lineRule="exact"/>
        <w:widowControl w:val="off"/>
        <w:rPr>
          <w:rFonts w:ascii="仿宋" w:hAnsi="仿宋" w:eastAsia="仿宋" w:cs="仿宋"/>
          <w:color w:val="000000" w:themeColor="text1"/>
          <w:sz w:val="32"/>
          <w:szCs w:val="32"/>
          <w:highlight w:val="none"/>
          <w14:textFill>
            <w14:solidFill>
              <w14:schemeClr w14:val="tx1"/>
            </w14:solidFill>
          </w14:textFill>
        </w:rPr>
        <w:outlineLvl w:val="9"/>
      </w:pPr>
      <w:r>
        <w:rPr>
          <w:rFonts w:ascii="仿宋" w:hAnsi="仿宋" w:eastAsia="仿宋" w:cs="仿宋"/>
          <w:color w:val="000000" w:themeColor="text1"/>
          <w:sz w:val="32"/>
          <w:szCs w:val="32"/>
          <w:highlight w:val="none"/>
          <w14:textFill>
            <w14:solidFill>
              <w14:schemeClr w14:val="tx1"/>
            </w14:solidFill>
          </w14:textFill>
        </w:rPr>
      </w:r>
      <w:r/>
    </w:p>
    <w:p>
      <w:pPr>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rPr>
          <w:rFonts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t xml:space="preserve">质疑函制作说明：</w:t>
      </w:r>
      <w:r/>
    </w:p>
    <w:p>
      <w:pPr>
        <w:ind w:firstLine="640"/>
        <w:jc w:val="left"/>
        <w:widowControl/>
        <w:rPr>
          <w:rFonts w:ascii="仿宋_GB2312" w:eastAsia="仿宋_GB2312"/>
          <w:color w:val="000000" w:themeColor="text1"/>
          <w:sz w:val="32"/>
          <w:szCs w:val="32"/>
          <w:highlight w:val="none"/>
          <w14:textFill>
            <w14:solidFill>
              <w14:schemeClr w14:val="tx1"/>
            </w14:solidFill>
          </w14:textFill>
        </w:rPr>
      </w:pPr>
      <w:r>
        <w:rPr>
          <w:rFonts w:hint="eastAsia" w:ascii="仿宋_GB2312" w:eastAsia="仿宋_GB2312"/>
          <w:color w:val="000000" w:themeColor="text1"/>
          <w:sz w:val="32"/>
          <w:szCs w:val="32"/>
          <w:highlight w:val="none"/>
          <w14:textFill>
            <w14:solidFill>
              <w14:schemeClr w14:val="tx1"/>
            </w14:solidFill>
          </w14:textFill>
        </w:rPr>
        <w:t xml:space="preserve">1.供应商提出质疑时，应提交质疑函和必要的证明材料。</w:t>
      </w:r>
      <w:r/>
    </w:p>
    <w:p>
      <w:pPr>
        <w:ind w:firstLine="640"/>
        <w:jc w:val="left"/>
        <w:widowControl/>
        <w:rPr>
          <w:rFonts w:ascii="仿宋_GB2312" w:eastAsia="仿宋_GB2312"/>
          <w:color w:val="000000" w:themeColor="text1"/>
          <w:sz w:val="32"/>
          <w:szCs w:val="32"/>
          <w:highlight w:val="none"/>
          <w14:textFill>
            <w14:solidFill>
              <w14:schemeClr w14:val="tx1"/>
            </w14:solidFill>
          </w14:textFill>
        </w:rPr>
      </w:pPr>
      <w:r>
        <w:rPr>
          <w:rFonts w:hint="eastAsia" w:ascii="仿宋_GB2312" w:eastAsia="仿宋_GB2312"/>
          <w:color w:val="000000" w:themeColor="text1"/>
          <w:sz w:val="32"/>
          <w:szCs w:val="32"/>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仿宋_GB2312" w:hAnsi="宋体" w:eastAsia="仿宋_GB2312" w:cs="宋体"/>
          <w:color w:val="000000" w:themeColor="text1"/>
          <w:sz w:val="32"/>
          <w:szCs w:val="32"/>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640"/>
        <w:jc w:val="left"/>
        <w:widowControl/>
        <w:rPr>
          <w:rFonts w:ascii="仿宋_GB2312" w:eastAsia="仿宋_GB2312"/>
          <w:color w:val="000000" w:themeColor="text1"/>
          <w:sz w:val="32"/>
          <w:szCs w:val="32"/>
          <w:highlight w:val="none"/>
          <w14:textFill>
            <w14:solidFill>
              <w14:schemeClr w14:val="tx1"/>
            </w14:solidFill>
          </w14:textFill>
        </w:rPr>
      </w:pPr>
      <w:r>
        <w:rPr>
          <w:rFonts w:hint="eastAsia" w:ascii="仿宋_GB2312" w:eastAsia="仿宋_GB2312"/>
          <w:color w:val="000000" w:themeColor="text1"/>
          <w:sz w:val="32"/>
          <w:szCs w:val="32"/>
          <w:highlight w:val="none"/>
          <w14:textFill>
            <w14:solidFill>
              <w14:schemeClr w14:val="tx1"/>
            </w14:solidFill>
          </w14:textFill>
        </w:rPr>
        <w:t xml:space="preserve">3.质疑供应商若对项目的某一分包进行质疑，质疑函中应列明具体分包号。</w:t>
      </w:r>
      <w:r/>
    </w:p>
    <w:p>
      <w:pPr>
        <w:ind w:firstLine="640"/>
        <w:jc w:val="left"/>
        <w:widowControl/>
        <w:rPr>
          <w:rFonts w:ascii="仿宋_GB2312" w:eastAsia="仿宋_GB2312"/>
          <w:color w:val="000000" w:themeColor="text1"/>
          <w:sz w:val="32"/>
          <w:szCs w:val="32"/>
          <w:highlight w:val="none"/>
          <w14:textFill>
            <w14:solidFill>
              <w14:schemeClr w14:val="tx1"/>
            </w14:solidFill>
          </w14:textFill>
        </w:rPr>
      </w:pPr>
      <w:r>
        <w:rPr>
          <w:rFonts w:hint="eastAsia" w:ascii="仿宋_GB2312" w:eastAsia="仿宋_GB2312"/>
          <w:color w:val="000000" w:themeColor="text1"/>
          <w:sz w:val="32"/>
          <w:szCs w:val="32"/>
          <w:highlight w:val="none"/>
          <w14:textFill>
            <w14:solidFill>
              <w14:schemeClr w14:val="tx1"/>
            </w14:solidFill>
          </w14:textFill>
        </w:rPr>
        <w:t xml:space="preserve">4.质疑函的质疑事项应具体、明确，并有必要的事实依据和法律依据。</w:t>
      </w:r>
      <w:r/>
    </w:p>
    <w:p>
      <w:pPr>
        <w:ind w:firstLine="640"/>
        <w:jc w:val="left"/>
        <w:widowControl/>
        <w:rPr>
          <w:rFonts w:ascii="仿宋_GB2312" w:eastAsia="仿宋_GB2312"/>
          <w:color w:val="000000" w:themeColor="text1"/>
          <w:sz w:val="32"/>
          <w:szCs w:val="32"/>
          <w:highlight w:val="none"/>
          <w14:textFill>
            <w14:solidFill>
              <w14:schemeClr w14:val="tx1"/>
            </w14:solidFill>
          </w14:textFill>
        </w:rPr>
      </w:pPr>
      <w:r>
        <w:rPr>
          <w:rFonts w:hint="eastAsia" w:ascii="仿宋_GB2312" w:eastAsia="仿宋_GB2312"/>
          <w:color w:val="000000" w:themeColor="text1"/>
          <w:sz w:val="32"/>
          <w:szCs w:val="32"/>
          <w:highlight w:val="none"/>
          <w14:textFill>
            <w14:solidFill>
              <w14:schemeClr w14:val="tx1"/>
            </w14:solidFill>
          </w14:textFill>
        </w:rPr>
        <w:t xml:space="preserve">5.质疑函的质疑请求应与质疑事项相关。</w:t>
      </w:r>
      <w:r/>
    </w:p>
    <w:p>
      <w:pPr>
        <w:ind w:firstLine="640"/>
        <w:jc w:val="left"/>
        <w:widowControl/>
        <w:rPr>
          <w:rFonts w:ascii="仿宋_GB2312" w:eastAsia="仿宋_GB2312"/>
          <w:color w:val="000000" w:themeColor="text1"/>
          <w:sz w:val="32"/>
          <w:szCs w:val="32"/>
          <w:highlight w:val="none"/>
          <w14:textFill>
            <w14:solidFill>
              <w14:schemeClr w14:val="tx1"/>
            </w14:solidFill>
          </w14:textFill>
        </w:rPr>
      </w:pPr>
      <w:r>
        <w:rPr>
          <w:rFonts w:hint="eastAsia" w:ascii="仿宋_GB2312" w:eastAsia="仿宋_GB2312"/>
          <w:color w:val="000000" w:themeColor="text1"/>
          <w:sz w:val="32"/>
          <w:szCs w:val="32"/>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ind w:firstLine="600"/>
        <w:jc w:val="left"/>
        <w:widowControl/>
        <w:rPr>
          <w:rFonts w:ascii="仿宋_GB2312" w:eastAsia="仿宋_GB2312"/>
          <w:color w:val="000000" w:themeColor="text1"/>
          <w:sz w:val="30"/>
          <w:szCs w:val="30"/>
          <w:highlight w:val="none"/>
          <w14:textFill>
            <w14:solidFill>
              <w14:schemeClr w14:val="tx1"/>
            </w14:solidFill>
          </w14:textFill>
        </w:rPr>
      </w:pPr>
      <w:r>
        <w:rPr>
          <w:rFonts w:ascii="仿宋_GB2312" w:eastAsia="仿宋_GB2312"/>
          <w:color w:val="000000" w:themeColor="text1"/>
          <w:sz w:val="30"/>
          <w:szCs w:val="30"/>
          <w:highlight w:val="none"/>
          <w14:textFill>
            <w14:solidFill>
              <w14:schemeClr w14:val="tx1"/>
            </w14:solidFill>
          </w14:textFill>
        </w:rPr>
      </w:r>
      <w:r/>
    </w:p>
    <w:p>
      <w:pPr>
        <w:ind w:firstLine="643"/>
        <w:jc w:val="center"/>
        <w:spacing w:line="48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ind w:firstLine="643"/>
        <w:jc w:val="center"/>
        <w:spacing w:line="48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ind w:firstLine="643"/>
        <w:jc w:val="center"/>
        <w:spacing w:line="48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ind w:firstLine="643"/>
        <w:jc w:val="center"/>
        <w:spacing w:line="48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ind w:firstLine="643"/>
        <w:jc w:val="center"/>
        <w:spacing w:line="48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ind w:firstLine="643"/>
        <w:jc w:val="center"/>
        <w:spacing w:line="48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ind w:firstLine="643"/>
        <w:jc w:val="center"/>
        <w:spacing w:line="48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ind w:firstLine="643"/>
        <w:jc w:val="center"/>
        <w:spacing w:line="48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sectPr>
      <w:headerReference w:type="default" r:id="rId19"/>
      <w:footerReference w:type="default" r:id="rId30"/>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方正魏碑_GBK">
    <w:panose1 w:val="020B0503020202020204"/>
  </w:font>
  <w:font w:name="Calibri Light">
    <w:panose1 w:val="020F0302020204030204"/>
  </w:font>
  <w:font w:name="Wingdings">
    <w:panose1 w:val="05000000000000000000"/>
  </w:font>
  <w:font w:name="华文楷体">
    <w:panose1 w:val="02010600040101010101"/>
  </w:font>
  <w:font w:name="楷体_GB2312">
    <w:panose1 w:val="02010609060101010101"/>
  </w:font>
  <w:font w:name="Book Antiqua">
    <w:panose1 w:val="02040602050305030304"/>
  </w:font>
  <w:font w:name="Tahoma">
    <w:panose1 w:val="020B0604030504040204"/>
  </w:font>
  <w:font w:name="Segoe UI Symbol">
    <w:panose1 w:val="020B0502040204020203"/>
  </w:font>
  <w:font w:name="Cambria">
    <w:panose1 w:val="02040503050406030204"/>
  </w:font>
  <w:font w:name="Adobe 仿宋 Std R">
    <w:panose1 w:val="020B0503020202020204"/>
  </w:font>
  <w:font w:name="Courier New">
    <w:panose1 w:val="02070309020205020404"/>
  </w:font>
  <w:font w:name="仿宋">
    <w:panose1 w:val="02010609060101010101"/>
  </w:font>
  <w:font w:name="Calibri">
    <w:panose1 w:val="020F0502020204030204"/>
  </w:font>
  <w:font w:name="微软雅黑">
    <w:panose1 w:val="020B0503020204020204"/>
  </w:font>
  <w:font w:name="Arial">
    <w:panose1 w:val="020B0604020202020204"/>
  </w:font>
  <w:font w:name="仿宋_GB2312">
    <w:panose1 w:val="02010609060101010101"/>
  </w:font>
  <w:font w:name="Verdana">
    <w:panose1 w:val="020B0604030504040204"/>
  </w:font>
  <w:font w:name="黑体">
    <w:panose1 w:val="02010609060101010101"/>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8"/>
                            <w:rPr>
                              <w:rFonts w:hint="eastAsia" w:ascii="宋体" w:hAnsi="宋体" w:eastAsia="宋体" w:cs="宋体"/>
                              <w:lang w:eastAsia="zh-CN"/>
                            </w:rPr>
                          </w:pPr>
                          <w:r>
                            <w:rPr>
                              <w:rFonts w:hint="eastAsia" w:ascii="宋体" w:hAnsi="宋体" w:eastAsia="宋体" w:cs="宋体"/>
                              <w:lang w:eastAsia="zh-CN"/>
                            </w:rPr>
                            <w:fldChar w:fldCharType="begin"/>
                          </w:r>
                          <w:r>
                            <w:rPr>
                              <w:rFonts w:hint="eastAsia" w:ascii="宋体" w:hAnsi="宋体" w:eastAsia="宋体" w:cs="宋体"/>
                              <w:lang w:eastAsia="zh-CN"/>
                            </w:rPr>
                            <w:instrText xml:space="preserve"> PAGE  \* MERGEFORMAT </w:instrText>
                          </w:r>
                          <w:r>
                            <w:rPr>
                              <w:rFonts w:hint="eastAsia" w:ascii="宋体" w:hAnsi="宋体" w:eastAsia="宋体" w:cs="宋体"/>
                              <w:lang w:eastAsia="zh-CN"/>
                            </w:rPr>
                            <w:fldChar w:fldCharType="separate"/>
                          </w:r>
                          <w:r>
                            <w:rPr>
                              <w:rFonts w:hint="eastAsia" w:ascii="宋体" w:hAnsi="宋体" w:eastAsia="宋体" w:cs="宋体"/>
                              <w:lang w:eastAsia="zh-CN"/>
                            </w:rPr>
                            <w:t xml:space="preserve">1</w:t>
                          </w:r>
                          <w:r>
                            <w:rPr>
                              <w:rFonts w:hint="eastAsia" w:ascii="宋体" w:hAnsi="宋体" w:eastAsia="宋体" w:cs="宋体"/>
                              <w:lang w:eastAsia="zh-CN"/>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8"/>
                      <w:rPr>
                        <w:rFonts w:hint="eastAsia" w:ascii="宋体" w:hAnsi="宋体" w:eastAsia="宋体" w:cs="宋体"/>
                        <w:lang w:eastAsia="zh-CN"/>
                      </w:rPr>
                    </w:pPr>
                    <w:r>
                      <w:rPr>
                        <w:rFonts w:hint="eastAsia" w:ascii="宋体" w:hAnsi="宋体" w:eastAsia="宋体" w:cs="宋体"/>
                        <w:lang w:eastAsia="zh-CN"/>
                      </w:rPr>
                      <w:fldChar w:fldCharType="begin"/>
                    </w:r>
                    <w:r>
                      <w:rPr>
                        <w:rFonts w:hint="eastAsia" w:ascii="宋体" w:hAnsi="宋体" w:eastAsia="宋体" w:cs="宋体"/>
                        <w:lang w:eastAsia="zh-CN"/>
                      </w:rPr>
                      <w:instrText xml:space="preserve"> PAGE  \* MERGEFORMAT </w:instrText>
                    </w:r>
                    <w:r>
                      <w:rPr>
                        <w:rFonts w:hint="eastAsia" w:ascii="宋体" w:hAnsi="宋体" w:eastAsia="宋体" w:cs="宋体"/>
                        <w:lang w:eastAsia="zh-CN"/>
                      </w:rPr>
                      <w:fldChar w:fldCharType="separate"/>
                    </w:r>
                    <w:r>
                      <w:rPr>
                        <w:rFonts w:hint="eastAsia" w:ascii="宋体" w:hAnsi="宋体" w:eastAsia="宋体" w:cs="宋体"/>
                        <w:lang w:eastAsia="zh-CN"/>
                      </w:rPr>
                      <w:t xml:space="preserve">1</w:t>
                    </w:r>
                    <w:r>
                      <w:rPr>
                        <w:rFonts w:hint="eastAsia" w:ascii="宋体" w:hAnsi="宋体" w:eastAsia="宋体" w:cs="宋体"/>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9"/>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9"/>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9"/>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8"/>
                            <w:rPr>
                              <w:rFonts w:hint="eastAsia" w:eastAsia="仿宋_GB2312"/>
                              <w:sz w:val="22"/>
                              <w:szCs w:val="22"/>
                              <w:lang w:eastAsia="zh-CN"/>
                            </w:rPr>
                          </w:pPr>
                          <w:r>
                            <w:rPr>
                              <w:rFonts w:hint="eastAsia" w:ascii="宋体" w:hAnsi="宋体" w:eastAsia="宋体" w:cs="宋体"/>
                              <w:sz w:val="22"/>
                              <w:szCs w:val="22"/>
                              <w:lang w:eastAsia="zh-CN"/>
                            </w:rPr>
                            <w:fldChar w:fldCharType="begin"/>
                          </w:r>
                          <w:r>
                            <w:rPr>
                              <w:rFonts w:hint="eastAsia" w:ascii="宋体" w:hAnsi="宋体" w:eastAsia="宋体" w:cs="宋体"/>
                              <w:sz w:val="22"/>
                              <w:szCs w:val="22"/>
                              <w:lang w:eastAsia="zh-CN"/>
                            </w:rPr>
                            <w:instrText xml:space="preserve"> PAGE  \* MERGEFORMAT </w:instrText>
                          </w:r>
                          <w:r>
                            <w:rPr>
                              <w:rFonts w:hint="eastAsia" w:ascii="宋体" w:hAnsi="宋体" w:eastAsia="宋体" w:cs="宋体"/>
                              <w:sz w:val="22"/>
                              <w:szCs w:val="22"/>
                              <w:lang w:eastAsia="zh-CN"/>
                            </w:rPr>
                            <w:fldChar w:fldCharType="separate"/>
                          </w:r>
                          <w:r>
                            <w:rPr>
                              <w:rFonts w:hint="eastAsia" w:ascii="宋体" w:hAnsi="宋体" w:eastAsia="宋体" w:cs="宋体"/>
                              <w:sz w:val="22"/>
                              <w:szCs w:val="22"/>
                              <w:lang w:eastAsia="zh-CN"/>
                            </w:rPr>
                            <w:t xml:space="preserve">- 42 -</w:t>
                          </w:r>
                          <w:r>
                            <w:rPr>
                              <w:rFonts w:hint="eastAsia" w:ascii="宋体" w:hAnsi="宋体" w:eastAsia="宋体" w:cs="宋体"/>
                              <w:sz w:val="22"/>
                              <w:szCs w:val="22"/>
                              <w:lang w:eastAsia="zh-CN"/>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8"/>
                      <w:rPr>
                        <w:rFonts w:hint="eastAsia" w:eastAsia="仿宋_GB2312"/>
                        <w:sz w:val="22"/>
                        <w:szCs w:val="22"/>
                        <w:lang w:eastAsia="zh-CN"/>
                      </w:rPr>
                    </w:pPr>
                    <w:r>
                      <w:rPr>
                        <w:rFonts w:hint="eastAsia" w:ascii="宋体" w:hAnsi="宋体" w:eastAsia="宋体" w:cs="宋体"/>
                        <w:sz w:val="22"/>
                        <w:szCs w:val="22"/>
                        <w:lang w:eastAsia="zh-CN"/>
                      </w:rPr>
                      <w:fldChar w:fldCharType="begin"/>
                    </w:r>
                    <w:r>
                      <w:rPr>
                        <w:rFonts w:hint="eastAsia" w:ascii="宋体" w:hAnsi="宋体" w:eastAsia="宋体" w:cs="宋体"/>
                        <w:sz w:val="22"/>
                        <w:szCs w:val="22"/>
                        <w:lang w:eastAsia="zh-CN"/>
                      </w:rPr>
                      <w:instrText xml:space="preserve"> PAGE  \* MERGEFORMAT </w:instrText>
                    </w:r>
                    <w:r>
                      <w:rPr>
                        <w:rFonts w:hint="eastAsia" w:ascii="宋体" w:hAnsi="宋体" w:eastAsia="宋体" w:cs="宋体"/>
                        <w:sz w:val="22"/>
                        <w:szCs w:val="22"/>
                        <w:lang w:eastAsia="zh-CN"/>
                      </w:rPr>
                      <w:fldChar w:fldCharType="separate"/>
                    </w:r>
                    <w:r>
                      <w:rPr>
                        <w:rFonts w:hint="eastAsia" w:ascii="宋体" w:hAnsi="宋体" w:eastAsia="宋体" w:cs="宋体"/>
                        <w:sz w:val="22"/>
                        <w:szCs w:val="22"/>
                        <w:lang w:eastAsia="zh-CN"/>
                      </w:rPr>
                      <w:t xml:space="preserve">- 42 -</w:t>
                    </w:r>
                    <w:r>
                      <w:rPr>
                        <w:rFonts w:hint="eastAsia" w:ascii="宋体" w:hAnsi="宋体" w:eastAsia="宋体" w:cs="宋体"/>
                        <w:sz w:val="22"/>
                        <w:szCs w:val="22"/>
                        <w:lang w:eastAsia="zh-CN"/>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9"/>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8"/>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- 81 -</w:t>
                          </w:r>
                          <w:r>
                            <w:rPr>
                              <w:rFonts w:hint="eastAsia"/>
                              <w:lang w:eastAsia="zh-CN"/>
                            </w:rP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8"/>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- 81 -</w:t>
                    </w:r>
                    <w:r>
                      <w:rPr>
                        <w:rFonts w:hint="eastAsia"/>
                        <w:lang w:eastAsia="zh-CN"/>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9"/>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8"/>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- 86 -</w:t>
                          </w:r>
                          <w:r>
                            <w:rPr>
                              <w:rFonts w:hint="eastAsia"/>
                              <w:lang w:eastAsia="zh-CN"/>
                            </w:rP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8"/>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- 86 -</w:t>
                    </w:r>
                    <w:r>
                      <w:rPr>
                        <w:rFonts w:hint="eastAsia"/>
                        <w:lang w:eastAsia="zh-CN"/>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9"/>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8"/>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- 87 -</w:t>
                          </w:r>
                          <w:r>
                            <w:rPr>
                              <w:rFonts w:hint="eastAsia"/>
                              <w:lang w:eastAsia="zh-CN"/>
                            </w:rP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8"/>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- 87 -</w:t>
                    </w:r>
                    <w:r>
                      <w:rPr>
                        <w:rFonts w:hint="eastAsia"/>
                        <w:lang w:eastAsia="zh-CN"/>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9"/>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8"/>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- 88 -</w:t>
                          </w:r>
                          <w:r>
                            <w:rPr>
                              <w:rFonts w:hint="eastAsia"/>
                              <w:lang w:eastAsia="zh-CN"/>
                            </w:rPr>
                            <w:fldChar w:fldCharType="end"/>
                          </w:r>
                          <w:r/>
                        </w:p>
                      </w:txbxContent>
                    </wps:txbx>
                    <wps:bodyPr wrap="none" lIns="0" tIns="0" rIns="0" bIns="0" upright="0">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8"/>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- 88 -</w:t>
                    </w:r>
                    <w:r>
                      <w:rPr>
                        <w:rFonts w:hint="eastAsia"/>
                        <w:lang w:eastAsia="zh-CN"/>
                      </w:rP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9"/>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8"/>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- 89 -</w:t>
                          </w:r>
                          <w:r>
                            <w:rPr>
                              <w:rFonts w:hint="eastAsia"/>
                              <w:lang w:eastAsia="zh-CN"/>
                            </w:rPr>
                            <w:fldChar w:fldCharType="end"/>
                          </w:r>
                          <w:r/>
                        </w:p>
                      </w:txbxContent>
                    </wps:txbx>
                    <wps:bodyPr wrap="none" lIns="0" tIns="0" rIns="0" bIns="0" upright="0">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8"/>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- 89 -</w:t>
                    </w:r>
                    <w:r>
                      <w:rPr>
                        <w:rFonts w:hint="eastAsia"/>
                        <w:lang w:eastAsia="zh-CN"/>
                      </w:rP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9"/>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8"/>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- 90 -</w:t>
                          </w:r>
                          <w:r>
                            <w:rPr>
                              <w:rFonts w:hint="eastAsia"/>
                              <w:lang w:eastAsia="zh-CN"/>
                            </w:rPr>
                            <w:fldChar w:fldCharType="end"/>
                          </w:r>
                          <w:r/>
                        </w:p>
                      </w:txbxContent>
                    </wps:txbx>
                    <wps:bodyPr wrap="none" lIns="0" tIns="0" rIns="0" bIns="0" upright="0">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8"/>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- 90 -</w:t>
                    </w:r>
                    <w:r>
                      <w:rPr>
                        <w:rFonts w:hint="eastAsia"/>
                        <w:lang w:eastAsia="zh-CN"/>
                      </w:rP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9"/>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8"/>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p>
                      </w:txbxContent>
                    </wps:txbx>
                    <wps:bodyPr wrap="none" lIns="0" tIns="0" rIns="0" bIns="0" upright="0">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8"/>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p>
                </w:txbxContent>
              </v:textbox>
            </v:shape>
          </w:pict>
        </mc:Fallback>
      </mc:AlternateContent>
    </w:r>
    <w:r/>
  </w:p>
  <w:p>
    <w:pPr>
      <w:pStyle w:val="1349"/>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rFonts w:hint="eastAsia"/>
        <w:iCs/>
        <w:sz w:val="18"/>
        <w:u w:val="single"/>
      </w:rPr>
    </w:pPr>
    <w:r>
      <w:rPr>
        <w:rFonts w:hint="eastAsia"/>
        <w:iCs/>
        <w:sz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4"/>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4"/>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4"/>
      <w:ind w:firstLine="360"/>
      <w:rPr>
        <w:rFonts w:hint="eastAsia"/>
      </w:rPr>
      <w:pBdr>
        <w:bottom w:val="none" w:color="000000" w:sz="0" w:space="1"/>
      </w:pBdr>
    </w:pPr>
    <w:r>
      <w:rPr>
        <w:rFonts w:hint="eastAsi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4"/>
      <w:ind w:firstLine="360"/>
      <w:rPr>
        <w:rFonts w:hint="eastAsia"/>
      </w:rPr>
      <w:pBdr>
        <w:bottom w:val="none" w:color="000000" w:sz="0" w:space="1"/>
      </w:pBdr>
    </w:pPr>
    <w:r>
      <w:rPr>
        <w:rFonts w:hint="eastAsia"/>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4"/>
      <w:ind w:firstLine="360"/>
      <w:rPr>
        <w:rFonts w:hint="eastAsia"/>
      </w:rPr>
      <w:pBdr>
        <w:bottom w:val="none" w:color="000000" w:sz="0" w:space="1"/>
      </w:pBdr>
    </w:pPr>
    <w:r>
      <w:rPr>
        <w:rFonts w:hint="eastAsia"/>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4"/>
      <w:ind w:firstLine="360"/>
      <w:rPr>
        <w:rFonts w:hint="eastAsia"/>
      </w:rPr>
      <w:pBdr>
        <w:bottom w:val="none" w:color="000000" w:sz="0" w:space="1"/>
      </w:pBdr>
    </w:pPr>
    <w:r>
      <w:rPr>
        <w:rFonts w:hint="eastAsia"/>
      </w:r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4"/>
      <w:ind w:firstLine="360"/>
      <w:rPr>
        <w:rFonts w:hint="eastAsia"/>
      </w:rPr>
      <w:pBdr>
        <w:bottom w:val="none" w:color="000000" w:sz="0" w:space="1"/>
      </w:pBdr>
    </w:pPr>
    <w:r>
      <w:rPr>
        <w:rFonts w:hint="eastAsia"/>
      </w:r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4"/>
      <w:ind w:firstLine="360"/>
      <w:rPr>
        <w:rFonts w:hint="eastAsia"/>
      </w:rPr>
      <w:pBdr>
        <w:bottom w:val="none" w:color="000000" w:sz="0" w:space="1"/>
      </w:pBdr>
    </w:pPr>
    <w:r>
      <w:rPr>
        <w:rFonts w:hint="eastAsia"/>
      </w:rPr>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4"/>
      <w:ind w:firstLine="360"/>
      <w:rPr>
        <w:rFonts w:hint="eastAsia"/>
      </w:rPr>
      <w:pBdr>
        <w:bottom w:val="none" w:color="000000" w:sz="0" w:space="1"/>
      </w:pBdr>
    </w:pPr>
    <w:r>
      <w:rPr>
        <w:rFonts w:hint="eastAsia"/>
      </w:rPr>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4"/>
      <w:ind w:firstLine="360"/>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60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lvl>
    <w:lvl w:ilvl="1">
      <w:start w:val="1"/>
      <w:numFmt w:val="decimal"/>
      <w:pStyle w:val="1452"/>
      <w:isLgl w:val="false"/>
      <w:suff w:val="tab"/>
      <w:lvlText w:val="%1.%2."/>
      <w:lvlJc w:val="left"/>
      <w:pPr>
        <w:ind w:left="709"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2">
    <w:multiLevelType w:val="hybridMultilevel"/>
    <w:lvl w:ilvl="0">
      <w:start w:val="1"/>
      <w:numFmt w:val="decimal"/>
      <w:pStyle w:val="1451"/>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1514"/>
      <w:isLgl w:val="false"/>
      <w:suff w:val="tab"/>
      <w:lvlText w:val="%1."/>
      <w:lvlJc w:val="left"/>
      <w:pPr>
        <w:ind w:left="2126" w:hanging="425"/>
        <w:tabs>
          <w:tab w:val="left" w:pos="2126" w:leader="none"/>
        </w:tabs>
      </w:pPr>
      <w:rPr>
        <w:rFonts w:ascii="Times New Roman" w:hAnsi="Times New Roman" w:cs="Book Antiqua"/>
        <w:b w:val="0"/>
        <w:bCs/>
        <w:i w:val="0"/>
        <w:iCs w:val="0"/>
        <w:sz w:val="21"/>
        <w:szCs w:val="21"/>
        <w:u w:val="none"/>
      </w:rPr>
    </w:lvl>
    <w:lvl w:ilvl="1">
      <w:start w:val="1"/>
      <w:numFmt w:val="lowerLetter"/>
      <w:pStyle w:val="1444"/>
      <w:isLgl w:val="false"/>
      <w:suff w:val="tab"/>
      <w:lvlText w:val="%2."/>
      <w:lvlJc w:val="left"/>
      <w:pPr>
        <w:ind w:left="2551" w:hanging="425"/>
        <w:tabs>
          <w:tab w:val="left" w:pos="2551" w:leader="none"/>
        </w:tabs>
      </w:pPr>
      <w:rPr>
        <w:rFonts w:ascii="Times New Roman" w:hAnsi="Times New Roman" w:cs="Book Antiqua"/>
        <w:b w:val="0"/>
        <w:bCs/>
        <w:i w:val="0"/>
        <w:iCs w:val="0"/>
        <w:sz w:val="21"/>
        <w:szCs w:val="21"/>
        <w:u w:val="none"/>
      </w:rPr>
    </w:lvl>
    <w:lvl w:ilvl="2">
      <w:start w:val="1"/>
      <w:numFmt w:val="lowerRoman"/>
      <w:pStyle w:val="1416"/>
      <w:isLgl w:val="false"/>
      <w:suff w:val="tab"/>
      <w:lvlText w:val="%3."/>
      <w:lvlJc w:val="left"/>
      <w:pPr>
        <w:ind w:left="2976" w:hanging="425"/>
        <w:tabs>
          <w:tab w:val="left" w:pos="2976" w:leader="none"/>
        </w:tabs>
      </w:pPr>
      <w:rPr>
        <w:rFonts w:ascii="Times New Roman" w:hAnsi="Times New Roman" w:cs="Book Antiqua"/>
        <w:b w:val="0"/>
        <w:bCs/>
        <w:i w:val="0"/>
        <w:iCs w:val="0"/>
        <w:sz w:val="21"/>
        <w:szCs w:val="21"/>
        <w:u w:val="none"/>
      </w:rPr>
    </w:lvl>
    <w:lvl w:ilvl="3">
      <w:start w:val="1"/>
      <w:numFmt w:val="decimal"/>
      <w:pStyle w:val="1443"/>
      <w:isLgl w:val="false"/>
      <w:suff w:val="tab"/>
      <w:lvlText w:val="%4)"/>
      <w:lvlJc w:val="left"/>
      <w:pPr>
        <w:ind w:left="3401" w:hanging="425"/>
        <w:tabs>
          <w:tab w:val="left" w:pos="3401" w:leader="none"/>
        </w:tabs>
      </w:pPr>
      <w:rPr>
        <w:rFonts w:ascii="Times New Roman" w:hAnsi="Times New Roman" w:cs="Book Antiqua"/>
        <w:b w:val="0"/>
        <w:bCs/>
        <w:i w:val="0"/>
        <w:iCs w:val="0"/>
        <w:sz w:val="21"/>
        <w:szCs w:val="21"/>
        <w:u w:val="none"/>
      </w:rPr>
    </w:lvl>
    <w:lvl w:ilvl="4">
      <w:start w:val="1"/>
      <w:numFmt w:val="bullet"/>
      <w:isLgl w:val="false"/>
      <w:suff w:val="tab"/>
      <w:lvlText w:val=""/>
      <w:lvlJc w:val="left"/>
      <w:pPr>
        <w:ind w:left="1260" w:hanging="420"/>
        <w:tabs>
          <w:tab w:val="left" w:pos="1260" w:leader="none"/>
        </w:tabs>
      </w:pPr>
      <w:rPr>
        <w:rFonts w:ascii="Wingdings" w:hAnsi="Wingdings"/>
      </w:rPr>
    </w:lvl>
    <w:lvl w:ilvl="5">
      <w:start w:val="1"/>
      <w:numFmt w:val="bullet"/>
      <w:isLgl w:val="false"/>
      <w:suff w:val="tab"/>
      <w:lvlText w:val=""/>
      <w:lvlJc w:val="left"/>
      <w:pPr>
        <w:ind w:left="1680" w:hanging="420"/>
        <w:tabs>
          <w:tab w:val="left" w:pos="1680" w:leader="none"/>
        </w:tabs>
      </w:pPr>
      <w:rPr>
        <w:rFonts w:ascii="Wingdings" w:hAnsi="Wingdings"/>
      </w:rPr>
    </w:lvl>
    <w:lvl w:ilvl="6">
      <w:start w:val="1"/>
      <w:numFmt w:val="bullet"/>
      <w:isLgl w:val="false"/>
      <w:suff w:val="tab"/>
      <w:lvlText w:val=""/>
      <w:lvlJc w:val="left"/>
      <w:pPr>
        <w:ind w:left="2100" w:hanging="420"/>
        <w:tabs>
          <w:tab w:val="left" w:pos="2100" w:leader="none"/>
        </w:tabs>
      </w:pPr>
      <w:rPr>
        <w:rFonts w:ascii="Wingdings" w:hAnsi="Wingdings"/>
      </w:rPr>
    </w:lvl>
    <w:lvl w:ilvl="7">
      <w:start w:val="1"/>
      <w:numFmt w:val="bullet"/>
      <w:isLgl w:val="false"/>
      <w:suff w:val="tab"/>
      <w:lvlText w:val=""/>
      <w:lvlJc w:val="left"/>
      <w:pPr>
        <w:ind w:left="2520" w:hanging="420"/>
        <w:tabs>
          <w:tab w:val="left" w:pos="2520" w:leader="none"/>
        </w:tabs>
      </w:pPr>
      <w:rPr>
        <w:rFonts w:ascii="Wingdings" w:hAnsi="Wingdings"/>
      </w:rPr>
    </w:lvl>
    <w:lvl w:ilvl="8">
      <w:start w:val="1"/>
      <w:numFmt w:val="decimal"/>
      <w:isLgl w:val="false"/>
      <w:suff w:val="tab"/>
      <w:lvlText w:val="%9."/>
      <w:lvlJc w:val="left"/>
      <w:pPr>
        <w:ind w:left="284" w:hanging="284"/>
        <w:tabs>
          <w:tab w:val="left" w:pos="284" w:leader="none"/>
        </w:tabs>
      </w:pPr>
      <w:rPr>
        <w:rFonts w:hint="eastAsia"/>
      </w:rPr>
    </w:lvl>
  </w:abstractNum>
  <w:abstractNum w:abstractNumId="4">
    <w:multiLevelType w:val="hybridMultilevel"/>
    <w:lvl w:ilvl="0">
      <w:start w:val="4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394"/>
      <w:isLgl w:val="false"/>
      <w:suff w:val="tab"/>
      <w:lvlText w:val="%1、"/>
      <w:lvlJc w:val="left"/>
      <w:pPr>
        <w:ind w:left="360" w:hanging="360"/>
      </w:pPr>
      <w:rPr>
        <w:rFonts w:ascii="Times New Roman" w:hAnsi="Times New Roman"/>
        <w:sz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9"/>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427"/>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7"/>
  </w:num>
  <w:num w:numId="2">
    <w:abstractNumId w:val="3"/>
  </w:num>
  <w:num w:numId="3">
    <w:abstractNumId w:val="9"/>
  </w:num>
  <w:num w:numId="4">
    <w:abstractNumId w:val="2"/>
  </w:num>
  <w:num w:numId="5">
    <w:abstractNumId w:val="1"/>
  </w:num>
  <w:num w:numId="6">
    <w:abstractNumId w:val="8"/>
  </w:num>
  <w:num w:numId="7">
    <w:abstractNumId w:val="4"/>
  </w:num>
  <w:num w:numId="8">
    <w:abstractNumId w:val="6"/>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94" w:default="1">
    <w:name w:val="Normal"/>
    <w:next w:val="1106"/>
    <w:link w:val="1376"/>
    <w:uiPriority w:val="0"/>
    <w:qFormat/>
    <w:pPr>
      <w:ind w:firstLine="200"/>
      <w:jc w:val="both"/>
      <w:spacing w:line="274" w:lineRule="auto"/>
      <w:widowControl w:val="off"/>
    </w:pPr>
    <w:rPr>
      <w:rFonts w:hint="default" w:ascii="仿宋_GB2312" w:hAnsi="Times New Roman" w:eastAsia="仿宋_GB2312" w:cs="Times New Roman"/>
      <w:sz w:val="24"/>
      <w:szCs w:val="24"/>
      <w:lang w:val="en-US" w:eastAsia="zh-CN" w:bidi="ar-SA"/>
    </w:rPr>
  </w:style>
  <w:style w:type="paragraph" w:styleId="1095">
    <w:name w:val="Heading 1"/>
    <w:basedOn w:val="1094"/>
    <w:next w:val="1094"/>
    <w:link w:val="1148"/>
    <w:uiPriority w:val="9"/>
    <w:qFormat/>
    <w:pPr>
      <w:keepLines/>
      <w:keepNext/>
      <w:spacing w:before="480" w:after="200"/>
      <w:outlineLvl w:val="0"/>
    </w:pPr>
    <w:rPr>
      <w:rFonts w:ascii="Arial" w:hAnsi="Arial" w:eastAsia="Arial" w:cs="Arial"/>
      <w:sz w:val="40"/>
      <w:szCs w:val="40"/>
    </w:rPr>
  </w:style>
  <w:style w:type="paragraph" w:styleId="1096">
    <w:name w:val="Heading 2"/>
    <w:basedOn w:val="1094"/>
    <w:next w:val="1094"/>
    <w:link w:val="1149"/>
    <w:uiPriority w:val="9"/>
    <w:unhideWhenUsed/>
    <w:qFormat/>
    <w:pPr>
      <w:keepLines/>
      <w:keepNext/>
      <w:spacing w:before="360" w:after="200"/>
      <w:outlineLvl w:val="1"/>
    </w:pPr>
    <w:rPr>
      <w:rFonts w:ascii="Arial" w:hAnsi="Arial" w:eastAsia="Arial" w:cs="Arial"/>
      <w:sz w:val="34"/>
    </w:rPr>
  </w:style>
  <w:style w:type="paragraph" w:styleId="1097">
    <w:name w:val="Heading 3"/>
    <w:basedOn w:val="1094"/>
    <w:next w:val="1107"/>
    <w:link w:val="1150"/>
    <w:uiPriority w:val="9"/>
    <w:unhideWhenUsed/>
    <w:qFormat/>
    <w:pPr>
      <w:keepLines/>
      <w:keepNext/>
      <w:spacing w:before="320" w:after="200"/>
      <w:outlineLvl w:val="2"/>
    </w:pPr>
    <w:rPr>
      <w:rFonts w:ascii="Arial" w:hAnsi="Arial" w:eastAsia="Arial" w:cs="Arial"/>
      <w:sz w:val="30"/>
      <w:szCs w:val="30"/>
    </w:rPr>
  </w:style>
  <w:style w:type="paragraph" w:styleId="1098">
    <w:name w:val="Heading 4"/>
    <w:basedOn w:val="1094"/>
    <w:next w:val="1107"/>
    <w:link w:val="1151"/>
    <w:uiPriority w:val="9"/>
    <w:unhideWhenUsed/>
    <w:qFormat/>
    <w:pPr>
      <w:keepLines/>
      <w:keepNext/>
      <w:spacing w:before="320" w:after="200"/>
      <w:outlineLvl w:val="3"/>
    </w:pPr>
    <w:rPr>
      <w:rFonts w:ascii="Arial" w:hAnsi="Arial" w:eastAsia="Arial" w:cs="Arial"/>
      <w:b/>
      <w:bCs/>
      <w:sz w:val="26"/>
      <w:szCs w:val="26"/>
    </w:rPr>
  </w:style>
  <w:style w:type="paragraph" w:styleId="1099">
    <w:name w:val="Heading 5"/>
    <w:basedOn w:val="1094"/>
    <w:next w:val="1094"/>
    <w:link w:val="1152"/>
    <w:uiPriority w:val="9"/>
    <w:unhideWhenUsed/>
    <w:qFormat/>
    <w:pPr>
      <w:keepLines/>
      <w:keepNext/>
      <w:spacing w:before="320" w:after="200"/>
      <w:outlineLvl w:val="4"/>
    </w:pPr>
    <w:rPr>
      <w:rFonts w:ascii="Arial" w:hAnsi="Arial" w:eastAsia="Arial" w:cs="Arial"/>
      <w:b/>
      <w:bCs/>
      <w:sz w:val="24"/>
      <w:szCs w:val="24"/>
    </w:rPr>
  </w:style>
  <w:style w:type="paragraph" w:styleId="1100">
    <w:name w:val="Heading 6"/>
    <w:basedOn w:val="1094"/>
    <w:next w:val="1094"/>
    <w:link w:val="1153"/>
    <w:uiPriority w:val="9"/>
    <w:unhideWhenUsed/>
    <w:qFormat/>
    <w:pPr>
      <w:keepLines/>
      <w:keepNext/>
      <w:spacing w:before="320" w:after="200"/>
      <w:outlineLvl w:val="5"/>
    </w:pPr>
    <w:rPr>
      <w:rFonts w:ascii="Arial" w:hAnsi="Arial" w:eastAsia="Arial" w:cs="Arial"/>
      <w:b/>
      <w:bCs/>
      <w:sz w:val="22"/>
      <w:szCs w:val="22"/>
    </w:rPr>
  </w:style>
  <w:style w:type="paragraph" w:styleId="1101">
    <w:name w:val="Heading 7"/>
    <w:basedOn w:val="1094"/>
    <w:next w:val="1094"/>
    <w:link w:val="1154"/>
    <w:uiPriority w:val="9"/>
    <w:unhideWhenUsed/>
    <w:qFormat/>
    <w:pPr>
      <w:keepLines/>
      <w:keepNext/>
      <w:spacing w:before="320" w:after="200"/>
      <w:outlineLvl w:val="6"/>
    </w:pPr>
    <w:rPr>
      <w:rFonts w:ascii="Arial" w:hAnsi="Arial" w:eastAsia="Arial" w:cs="Arial"/>
      <w:b/>
      <w:bCs/>
      <w:i/>
      <w:iCs/>
      <w:sz w:val="22"/>
      <w:szCs w:val="22"/>
    </w:rPr>
  </w:style>
  <w:style w:type="paragraph" w:styleId="1102">
    <w:name w:val="Heading 8"/>
    <w:basedOn w:val="1094"/>
    <w:next w:val="1094"/>
    <w:link w:val="1155"/>
    <w:uiPriority w:val="9"/>
    <w:unhideWhenUsed/>
    <w:qFormat/>
    <w:pPr>
      <w:keepLines/>
      <w:keepNext/>
      <w:spacing w:before="320" w:after="200"/>
      <w:outlineLvl w:val="7"/>
    </w:pPr>
    <w:rPr>
      <w:rFonts w:ascii="Arial" w:hAnsi="Arial" w:eastAsia="Arial" w:cs="Arial"/>
      <w:i/>
      <w:iCs/>
      <w:sz w:val="22"/>
      <w:szCs w:val="22"/>
    </w:rPr>
  </w:style>
  <w:style w:type="paragraph" w:styleId="1103">
    <w:name w:val="Heading 9"/>
    <w:basedOn w:val="1094"/>
    <w:next w:val="1094"/>
    <w:link w:val="1156"/>
    <w:uiPriority w:val="9"/>
    <w:unhideWhenUsed/>
    <w:qFormat/>
    <w:pPr>
      <w:keepLines/>
      <w:keepNext/>
      <w:spacing w:before="320" w:after="200"/>
      <w:outlineLvl w:val="8"/>
    </w:pPr>
    <w:rPr>
      <w:rFonts w:ascii="Arial" w:hAnsi="Arial" w:eastAsia="Arial" w:cs="Arial"/>
      <w:i/>
      <w:iCs/>
      <w:sz w:val="21"/>
      <w:szCs w:val="21"/>
    </w:rPr>
  </w:style>
  <w:style w:type="character" w:styleId="1104" w:default="1">
    <w:name w:val="Default Paragraph Font"/>
    <w:uiPriority w:val="1"/>
    <w:semiHidden/>
    <w:unhideWhenUsed/>
    <w:qFormat/>
  </w:style>
  <w:style w:type="table" w:styleId="1105" w:default="1">
    <w:name w:val="Normal Table"/>
    <w:uiPriority w:val="99"/>
    <w:semiHidden/>
    <w:unhideWhenUsed/>
    <w:qFormat/>
    <w:tblPr>
      <w:tblLayout w:type="fixed"/>
      <w:tblCellMar>
        <w:left w:w="108" w:type="dxa"/>
        <w:top w:w="0" w:type="dxa"/>
        <w:right w:w="108" w:type="dxa"/>
        <w:bottom w:w="0" w:type="dxa"/>
      </w:tblCellMar>
    </w:tblPr>
  </w:style>
  <w:style w:type="paragraph" w:styleId="1106">
    <w:name w:val="toc 1"/>
    <w:basedOn w:val="1094"/>
    <w:next w:val="1094"/>
    <w:uiPriority w:val="39"/>
    <w:unhideWhenUsed/>
    <w:qFormat/>
    <w:pPr>
      <w:ind w:left="0" w:right="0" w:firstLine="0"/>
      <w:spacing w:after="57"/>
    </w:pPr>
  </w:style>
  <w:style w:type="paragraph" w:styleId="1107">
    <w:name w:val="Normal Indent"/>
    <w:basedOn w:val="1094"/>
    <w:next w:val="1094"/>
    <w:uiPriority w:val="99"/>
    <w:qFormat/>
    <w:pPr>
      <w:ind w:firstLine="420"/>
    </w:pPr>
    <w:rPr>
      <w:rFonts w:ascii="Calibri" w:eastAsia="宋体"/>
      <w:szCs w:val="20"/>
    </w:rPr>
  </w:style>
  <w:style w:type="paragraph" w:styleId="1108">
    <w:name w:val="toc 7"/>
    <w:basedOn w:val="1094"/>
    <w:next w:val="1094"/>
    <w:uiPriority w:val="39"/>
    <w:unhideWhenUsed/>
    <w:qFormat/>
    <w:pPr>
      <w:ind w:left="1701" w:right="0" w:firstLine="0"/>
      <w:spacing w:after="57"/>
    </w:pPr>
  </w:style>
  <w:style w:type="paragraph" w:styleId="1109">
    <w:name w:val="Caption"/>
    <w:basedOn w:val="1094"/>
    <w:next w:val="109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110">
    <w:name w:val="Body Text"/>
    <w:basedOn w:val="1094"/>
    <w:uiPriority w:val="0"/>
    <w:qFormat/>
    <w:pPr>
      <w:spacing w:after="120"/>
    </w:pPr>
    <w:rPr>
      <w:rFonts w:ascii="Calibri" w:hAnsi="Calibri" w:eastAsia="宋体"/>
    </w:rPr>
  </w:style>
  <w:style w:type="paragraph" w:styleId="1111">
    <w:name w:val="Body Text Indent"/>
    <w:basedOn w:val="1094"/>
    <w:next w:val="1094"/>
    <w:uiPriority w:val="0"/>
    <w:qFormat/>
    <w:pPr>
      <w:ind w:left="420"/>
      <w:spacing w:after="120"/>
    </w:pPr>
    <w:rPr>
      <w:rFonts w:ascii="Times New Roman" w:hAnsi="Times New Roman" w:eastAsia="宋体" w:cs="Times New Roman"/>
    </w:rPr>
  </w:style>
  <w:style w:type="paragraph" w:styleId="1112">
    <w:name w:val="Block Text"/>
    <w:basedOn w:val="1094"/>
    <w:uiPriority w:val="6"/>
    <w:qFormat/>
    <w:pPr>
      <w:ind w:left="256" w:right="6" w:firstLine="624"/>
    </w:pPr>
    <w:rPr>
      <w:rFonts w:eastAsia="仿宋"/>
      <w:sz w:val="28"/>
      <w:szCs w:val="20"/>
    </w:rPr>
  </w:style>
  <w:style w:type="paragraph" w:styleId="1113">
    <w:name w:val="toc 5"/>
    <w:basedOn w:val="1094"/>
    <w:next w:val="1094"/>
    <w:uiPriority w:val="39"/>
    <w:unhideWhenUsed/>
    <w:qFormat/>
    <w:pPr>
      <w:ind w:left="1134" w:right="0" w:firstLine="0"/>
      <w:spacing w:after="57"/>
    </w:pPr>
  </w:style>
  <w:style w:type="paragraph" w:styleId="1114">
    <w:name w:val="toc 3"/>
    <w:basedOn w:val="1094"/>
    <w:next w:val="1094"/>
    <w:uiPriority w:val="39"/>
    <w:unhideWhenUsed/>
    <w:qFormat/>
    <w:pPr>
      <w:ind w:left="567" w:right="0" w:firstLine="0"/>
      <w:spacing w:after="57"/>
    </w:pPr>
  </w:style>
  <w:style w:type="paragraph" w:styleId="1115">
    <w:name w:val="Plain Text"/>
    <w:basedOn w:val="1094"/>
    <w:uiPriority w:val="0"/>
    <w:qFormat/>
    <w:rPr>
      <w:rFonts w:ascii="宋体" w:hAnsi="Courier New"/>
      <w:szCs w:val="21"/>
    </w:rPr>
  </w:style>
  <w:style w:type="paragraph" w:styleId="1116">
    <w:name w:val="toc 8"/>
    <w:basedOn w:val="1094"/>
    <w:next w:val="1094"/>
    <w:uiPriority w:val="39"/>
    <w:unhideWhenUsed/>
    <w:qFormat/>
    <w:pPr>
      <w:ind w:left="1984" w:right="0" w:firstLine="0"/>
      <w:spacing w:after="57"/>
    </w:pPr>
  </w:style>
  <w:style w:type="paragraph" w:styleId="1117">
    <w:name w:val="endnote text"/>
    <w:basedOn w:val="1094"/>
    <w:link w:val="1292"/>
    <w:uiPriority w:val="99"/>
    <w:semiHidden/>
    <w:unhideWhenUsed/>
    <w:qFormat/>
    <w:pPr>
      <w:spacing w:after="0" w:line="240" w:lineRule="auto"/>
    </w:pPr>
    <w:rPr>
      <w:sz w:val="20"/>
    </w:rPr>
  </w:style>
  <w:style w:type="paragraph" w:styleId="1118">
    <w:name w:val="Footer"/>
    <w:basedOn w:val="1094"/>
    <w:link w:val="1165"/>
    <w:uiPriority w:val="99"/>
    <w:unhideWhenUsed/>
    <w:qFormat/>
    <w:pPr>
      <w:spacing w:after="0" w:line="240" w:lineRule="auto"/>
      <w:tabs>
        <w:tab w:val="center" w:pos="7143" w:leader="none"/>
        <w:tab w:val="right" w:pos="14287" w:leader="none"/>
      </w:tabs>
    </w:pPr>
  </w:style>
  <w:style w:type="paragraph" w:styleId="1119">
    <w:name w:val="envelope return"/>
    <w:basedOn w:val="1094"/>
    <w:uiPriority w:val="0"/>
    <w:qFormat/>
    <w:pPr>
      <w:ind w:firstLine="200"/>
    </w:pPr>
    <w:rPr>
      <w:rFonts w:ascii="Arial" w:hAnsi="Arial" w:eastAsia="仿宋_GB2312" w:cs="Arial"/>
    </w:rPr>
  </w:style>
  <w:style w:type="paragraph" w:styleId="1120">
    <w:name w:val="Body Text First Indent 2"/>
    <w:basedOn w:val="1111"/>
    <w:next w:val="1094"/>
    <w:uiPriority w:val="0"/>
    <w:qFormat/>
    <w:pPr>
      <w:ind w:firstLine="420"/>
    </w:pPr>
    <w:rPr>
      <w:rFonts w:ascii="Times New Roman" w:hAnsi="Times New Roman" w:eastAsia="宋体" w:cs="Times New Roman"/>
    </w:rPr>
  </w:style>
  <w:style w:type="paragraph" w:styleId="1121">
    <w:name w:val="Header"/>
    <w:basedOn w:val="1094"/>
    <w:uiPriority w:val="99"/>
    <w:unhideWhenUsed/>
    <w:qFormat/>
    <w:pPr>
      <w:spacing w:after="0" w:line="240" w:lineRule="auto"/>
      <w:tabs>
        <w:tab w:val="center" w:pos="7143" w:leader="none"/>
        <w:tab w:val="right" w:pos="14287" w:leader="none"/>
      </w:tabs>
    </w:pPr>
  </w:style>
  <w:style w:type="paragraph" w:styleId="1122">
    <w:name w:val="toc 4"/>
    <w:basedOn w:val="1094"/>
    <w:next w:val="1094"/>
    <w:uiPriority w:val="39"/>
    <w:unhideWhenUsed/>
    <w:qFormat/>
    <w:pPr>
      <w:ind w:left="850" w:right="0" w:firstLine="0"/>
      <w:spacing w:after="57"/>
    </w:pPr>
  </w:style>
  <w:style w:type="paragraph" w:styleId="1123">
    <w:name w:val="Subtitle"/>
    <w:basedOn w:val="1094"/>
    <w:next w:val="1094"/>
    <w:link w:val="1159"/>
    <w:uiPriority w:val="11"/>
    <w:qFormat/>
    <w:pPr>
      <w:spacing w:before="200" w:after="200"/>
    </w:pPr>
    <w:rPr>
      <w:sz w:val="24"/>
      <w:szCs w:val="24"/>
    </w:rPr>
  </w:style>
  <w:style w:type="paragraph" w:styleId="1124">
    <w:name w:val="footnote text"/>
    <w:basedOn w:val="1094"/>
    <w:link w:val="1291"/>
    <w:uiPriority w:val="99"/>
    <w:semiHidden/>
    <w:unhideWhenUsed/>
    <w:qFormat/>
    <w:pPr>
      <w:spacing w:after="40" w:line="240" w:lineRule="auto"/>
    </w:pPr>
    <w:rPr>
      <w:sz w:val="18"/>
    </w:rPr>
  </w:style>
  <w:style w:type="paragraph" w:styleId="1125">
    <w:name w:val="toc 6"/>
    <w:basedOn w:val="1094"/>
    <w:next w:val="1094"/>
    <w:uiPriority w:val="39"/>
    <w:unhideWhenUsed/>
    <w:qFormat/>
    <w:pPr>
      <w:ind w:left="1417" w:right="0" w:firstLine="0"/>
      <w:spacing w:after="57"/>
    </w:pPr>
  </w:style>
  <w:style w:type="paragraph" w:styleId="1126">
    <w:name w:val="table of figures"/>
    <w:basedOn w:val="1094"/>
    <w:next w:val="1094"/>
    <w:uiPriority w:val="99"/>
    <w:unhideWhenUsed/>
    <w:qFormat/>
    <w:pPr>
      <w:spacing w:after="0" w:afterAutospacing="0"/>
    </w:pPr>
  </w:style>
  <w:style w:type="paragraph" w:styleId="1127">
    <w:name w:val="toc 2"/>
    <w:basedOn w:val="1094"/>
    <w:next w:val="1094"/>
    <w:uiPriority w:val="39"/>
    <w:unhideWhenUsed/>
    <w:qFormat/>
    <w:pPr>
      <w:ind w:left="283" w:right="0" w:firstLine="0"/>
      <w:spacing w:after="57"/>
    </w:pPr>
  </w:style>
  <w:style w:type="paragraph" w:styleId="1128">
    <w:name w:val="toc 9"/>
    <w:basedOn w:val="1094"/>
    <w:next w:val="1094"/>
    <w:uiPriority w:val="39"/>
    <w:unhideWhenUsed/>
    <w:qFormat/>
    <w:pPr>
      <w:ind w:left="2268" w:right="0" w:firstLine="0"/>
      <w:spacing w:after="57"/>
    </w:pPr>
  </w:style>
  <w:style w:type="paragraph" w:styleId="1129">
    <w:name w:val="Normal (Web)"/>
    <w:basedOn w:val="1094"/>
    <w:uiPriority w:val="0"/>
    <w:qFormat/>
    <w:pPr>
      <w:ind w:left="0" w:right="0"/>
      <w:jc w:val="left"/>
      <w:spacing w:before="0" w:beforeAutospacing="1" w:after="0" w:afterAutospacing="1"/>
    </w:pPr>
    <w:rPr>
      <w:sz w:val="24"/>
      <w:lang w:val="en-US" w:eastAsia="zh-CN" w:bidi="ar"/>
    </w:rPr>
  </w:style>
  <w:style w:type="paragraph" w:styleId="1130">
    <w:name w:val="Title"/>
    <w:basedOn w:val="1094"/>
    <w:next w:val="1094"/>
    <w:link w:val="1158"/>
    <w:uiPriority w:val="10"/>
    <w:qFormat/>
    <w:pPr>
      <w:contextualSpacing/>
      <w:spacing w:before="300" w:after="200"/>
    </w:pPr>
    <w:rPr>
      <w:sz w:val="48"/>
      <w:szCs w:val="48"/>
    </w:rPr>
  </w:style>
  <w:style w:type="character" w:styleId="1131">
    <w:name w:val="endnote reference"/>
    <w:uiPriority w:val="99"/>
    <w:semiHidden/>
    <w:unhideWhenUsed/>
    <w:qFormat/>
    <w:rPr>
      <w:vertAlign w:val="superscript"/>
    </w:rPr>
  </w:style>
  <w:style w:type="character" w:styleId="1132">
    <w:name w:val="Emphasis"/>
    <w:uiPriority w:val="0"/>
    <w:qFormat/>
    <w:rPr>
      <w:i/>
    </w:rPr>
  </w:style>
  <w:style w:type="character" w:styleId="1133">
    <w:name w:val="Hyperlink"/>
    <w:uiPriority w:val="99"/>
    <w:unhideWhenUsed/>
    <w:qFormat/>
    <w:rPr>
      <w:color w:val="0000ff" w:themeColor="hyperlink"/>
      <w:u w:val="single"/>
      <w14:textFill>
        <w14:solidFill>
          <w14:schemeClr w14:val="hlink"/>
        </w14:solidFill>
      </w14:textFill>
    </w:rPr>
  </w:style>
  <w:style w:type="character" w:styleId="1134">
    <w:name w:val="footnote reference"/>
    <w:uiPriority w:val="99"/>
    <w:unhideWhenUsed/>
    <w:qFormat/>
    <w:rPr>
      <w:vertAlign w:val="superscript"/>
    </w:rPr>
  </w:style>
  <w:style w:type="table" w:styleId="113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1136" w:customStyle="1">
    <w:name w:val="正文缩进1"/>
    <w:basedOn w:val="1094"/>
    <w:next w:val="1094"/>
    <w:link w:val="1373"/>
    <w:uiPriority w:val="99"/>
    <w:qFormat/>
    <w:pPr>
      <w:ind w:firstLine="420"/>
    </w:pPr>
    <w:rPr>
      <w:rFonts w:ascii="Calibri" w:eastAsia="宋体"/>
      <w:szCs w:val="20"/>
    </w:rPr>
  </w:style>
  <w:style w:type="paragraph" w:styleId="1137" w:customStyle="1">
    <w:name w:val="正文首行缩进 21"/>
    <w:basedOn w:val="1138"/>
    <w:next w:val="1142"/>
    <w:uiPriority w:val="99"/>
    <w:unhideWhenUsed/>
    <w:qFormat/>
    <w:pPr>
      <w:ind w:firstLine="420"/>
    </w:pPr>
  </w:style>
  <w:style w:type="paragraph" w:styleId="1138" w:customStyle="1">
    <w:name w:val="正文文本缩进1"/>
    <w:basedOn w:val="1094"/>
    <w:next w:val="1139"/>
    <w:link w:val="1350"/>
    <w:uiPriority w:val="99"/>
    <w:unhideWhenUsed/>
    <w:qFormat/>
    <w:pPr>
      <w:ind w:left="420"/>
      <w:spacing w:after="120"/>
    </w:pPr>
  </w:style>
  <w:style w:type="paragraph" w:styleId="1139" w:customStyle="1">
    <w:name w:val="寄信人地址1"/>
    <w:basedOn w:val="1140"/>
    <w:uiPriority w:val="0"/>
    <w:qFormat/>
    <w:pPr>
      <w:ind w:firstLine="200"/>
    </w:pPr>
    <w:rPr>
      <w:rFonts w:ascii="Arial" w:hAnsi="Arial" w:eastAsia="仿宋_GB2312" w:cs="Arial"/>
    </w:rPr>
  </w:style>
  <w:style w:type="paragraph" w:styleId="1140" w:customStyle="1">
    <w:name w:val="正文11"/>
    <w:next w:val="114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1" w:customStyle="1">
    <w:name w:val="目录 11"/>
    <w:basedOn w:val="1140"/>
    <w:next w:val="1094"/>
    <w:uiPriority w:val="0"/>
    <w:qFormat/>
    <w:pPr>
      <w:jc w:val="left"/>
      <w:spacing w:after="100" w:line="259" w:lineRule="auto"/>
      <w:widowControl/>
    </w:pPr>
    <w:rPr>
      <w:rFonts w:ascii="Calibri" w:hAnsi="Calibri" w:eastAsia="宋体"/>
      <w:sz w:val="22"/>
      <w:szCs w:val="22"/>
    </w:rPr>
  </w:style>
  <w:style w:type="paragraph" w:styleId="1142" w:customStyle="1">
    <w:name w:val="正文首行缩进1"/>
    <w:basedOn w:val="1143"/>
    <w:next w:val="1137"/>
    <w:link w:val="1364"/>
    <w:uiPriority w:val="0"/>
    <w:unhideWhenUsed/>
    <w:qFormat/>
    <w:pPr>
      <w:ind w:firstLine="420"/>
      <w:spacing w:line="240" w:lineRule="auto"/>
    </w:pPr>
    <w:rPr>
      <w:rFonts w:ascii="Times New Roman" w:hAnsi="Times New Roman"/>
      <w:sz w:val="21"/>
      <w:szCs w:val="22"/>
    </w:rPr>
  </w:style>
  <w:style w:type="paragraph" w:styleId="1143" w:customStyle="1">
    <w:name w:val="正文文本1"/>
    <w:basedOn w:val="1144"/>
    <w:next w:val="1094"/>
    <w:uiPriority w:val="0"/>
    <w:qFormat/>
    <w:pPr>
      <w:spacing w:after="120"/>
    </w:pPr>
    <w:rPr>
      <w:lang w:eastAsia="en-US"/>
    </w:rPr>
  </w:style>
  <w:style w:type="paragraph" w:styleId="1144" w:customStyle="1">
    <w:name w:val="正文1"/>
    <w:basedOn w:val="1145"/>
    <w:next w:val="1141"/>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1145" w:customStyle="1">
    <w:name w:val="正文111"/>
    <w:next w:val="1138"/>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146" w:customStyle="1">
    <w:name w:val="无间隔11"/>
    <w:uiPriority w:val="0"/>
    <w:qFormat/>
    <w:rPr>
      <w:rFonts w:hint="default" w:ascii="Times New Roman" w:hAnsi="Times New Roman" w:eastAsia="宋体" w:cs="Times New Roman"/>
      <w:sz w:val="22"/>
      <w:szCs w:val="22"/>
      <w:lang w:val="en-US" w:eastAsia="en-US" w:bidi="ar-SA"/>
    </w:rPr>
  </w:style>
  <w:style w:type="paragraph" w:styleId="1147" w:customStyle="1">
    <w:name w:val="目录 111"/>
    <w:basedOn w:val="1145"/>
    <w:next w:val="1094"/>
    <w:uiPriority w:val="39"/>
    <w:unhideWhenUsed/>
    <w:qFormat/>
    <w:pPr>
      <w:ind w:firstLine="0"/>
      <w:jc w:val="left"/>
      <w:spacing w:before="120" w:after="120" w:line="360" w:lineRule="auto"/>
      <w:tabs>
        <w:tab w:val="right" w:pos="8296" w:leader="dot"/>
      </w:tabs>
    </w:pPr>
    <w:rPr>
      <w:rFonts w:ascii="Calibri" w:hAnsi="Calibri" w:cs="Calibri"/>
      <w:b/>
      <w:bCs/>
      <w:caps/>
      <w:sz w:val="20"/>
      <w:szCs w:val="20"/>
    </w:rPr>
  </w:style>
  <w:style w:type="character" w:styleId="1148" w:customStyle="1">
    <w:name w:val="Heading 1 Char"/>
    <w:link w:val="1095"/>
    <w:uiPriority w:val="9"/>
    <w:qFormat/>
    <w:rPr>
      <w:rFonts w:ascii="Arial" w:hAnsi="Arial" w:eastAsia="Arial" w:cs="Arial"/>
      <w:sz w:val="40"/>
      <w:szCs w:val="40"/>
    </w:rPr>
  </w:style>
  <w:style w:type="character" w:styleId="1149" w:customStyle="1">
    <w:name w:val="Heading 2 Char"/>
    <w:link w:val="1096"/>
    <w:uiPriority w:val="9"/>
    <w:qFormat/>
    <w:rPr>
      <w:rFonts w:ascii="Arial" w:hAnsi="Arial" w:eastAsia="Arial" w:cs="Arial"/>
      <w:sz w:val="34"/>
    </w:rPr>
  </w:style>
  <w:style w:type="character" w:styleId="1150" w:customStyle="1">
    <w:name w:val="Heading 3 Char"/>
    <w:link w:val="1097"/>
    <w:uiPriority w:val="9"/>
    <w:qFormat/>
    <w:rPr>
      <w:rFonts w:ascii="Arial" w:hAnsi="Arial" w:eastAsia="Arial" w:cs="Arial"/>
      <w:sz w:val="30"/>
      <w:szCs w:val="30"/>
    </w:rPr>
  </w:style>
  <w:style w:type="character" w:styleId="1151" w:customStyle="1">
    <w:name w:val="Heading 4 Char"/>
    <w:link w:val="1098"/>
    <w:uiPriority w:val="9"/>
    <w:qFormat/>
    <w:rPr>
      <w:rFonts w:ascii="Arial" w:hAnsi="Arial" w:eastAsia="Arial" w:cs="Arial"/>
      <w:b/>
      <w:bCs/>
      <w:sz w:val="26"/>
      <w:szCs w:val="26"/>
    </w:rPr>
  </w:style>
  <w:style w:type="character" w:styleId="1152" w:customStyle="1">
    <w:name w:val="Heading 5 Char"/>
    <w:link w:val="1099"/>
    <w:uiPriority w:val="9"/>
    <w:qFormat/>
    <w:rPr>
      <w:rFonts w:ascii="Arial" w:hAnsi="Arial" w:eastAsia="Arial" w:cs="Arial"/>
      <w:b/>
      <w:bCs/>
      <w:sz w:val="24"/>
      <w:szCs w:val="24"/>
    </w:rPr>
  </w:style>
  <w:style w:type="character" w:styleId="1153" w:customStyle="1">
    <w:name w:val="Heading 6 Char"/>
    <w:link w:val="1100"/>
    <w:uiPriority w:val="9"/>
    <w:qFormat/>
    <w:rPr>
      <w:rFonts w:ascii="Arial" w:hAnsi="Arial" w:eastAsia="Arial" w:cs="Arial"/>
      <w:b/>
      <w:bCs/>
      <w:sz w:val="22"/>
      <w:szCs w:val="22"/>
    </w:rPr>
  </w:style>
  <w:style w:type="character" w:styleId="1154" w:customStyle="1">
    <w:name w:val="Heading 7 Char"/>
    <w:link w:val="1101"/>
    <w:uiPriority w:val="9"/>
    <w:qFormat/>
    <w:rPr>
      <w:rFonts w:ascii="Arial" w:hAnsi="Arial" w:eastAsia="Arial" w:cs="Arial"/>
      <w:b/>
      <w:bCs/>
      <w:i/>
      <w:iCs/>
      <w:sz w:val="22"/>
      <w:szCs w:val="22"/>
    </w:rPr>
  </w:style>
  <w:style w:type="character" w:styleId="1155" w:customStyle="1">
    <w:name w:val="Heading 8 Char"/>
    <w:link w:val="1102"/>
    <w:uiPriority w:val="9"/>
    <w:qFormat/>
    <w:rPr>
      <w:rFonts w:ascii="Arial" w:hAnsi="Arial" w:eastAsia="Arial" w:cs="Arial"/>
      <w:i/>
      <w:iCs/>
      <w:sz w:val="22"/>
      <w:szCs w:val="22"/>
    </w:rPr>
  </w:style>
  <w:style w:type="character" w:styleId="1156" w:customStyle="1">
    <w:name w:val="Heading 9 Char"/>
    <w:link w:val="1103"/>
    <w:uiPriority w:val="9"/>
    <w:qFormat/>
    <w:rPr>
      <w:rFonts w:ascii="Arial" w:hAnsi="Arial" w:eastAsia="Arial" w:cs="Arial"/>
      <w:i/>
      <w:iCs/>
      <w:sz w:val="21"/>
      <w:szCs w:val="21"/>
    </w:rPr>
  </w:style>
  <w:style w:type="paragraph" w:styleId="1157">
    <w:name w:val="No Spacing"/>
    <w:uiPriority w:val="1"/>
    <w:qFormat/>
    <w:pPr>
      <w:spacing w:before="0" w:after="0" w:line="240" w:lineRule="auto"/>
    </w:pPr>
    <w:rPr>
      <w:rFonts w:hint="default" w:ascii="Times New Roman" w:hAnsi="Times New Roman" w:eastAsia="宋体" w:cs="Times New Roman"/>
    </w:rPr>
  </w:style>
  <w:style w:type="character" w:styleId="1158" w:customStyle="1">
    <w:name w:val="Title Char"/>
    <w:link w:val="1130"/>
    <w:uiPriority w:val="10"/>
    <w:qFormat/>
    <w:rPr>
      <w:sz w:val="48"/>
      <w:szCs w:val="48"/>
    </w:rPr>
  </w:style>
  <w:style w:type="character" w:styleId="1159" w:customStyle="1">
    <w:name w:val="Subtitle Char"/>
    <w:link w:val="1123"/>
    <w:uiPriority w:val="11"/>
    <w:qFormat/>
    <w:rPr>
      <w:sz w:val="24"/>
      <w:szCs w:val="24"/>
    </w:rPr>
  </w:style>
  <w:style w:type="paragraph" w:styleId="1160">
    <w:name w:val="Quote"/>
    <w:basedOn w:val="1094"/>
    <w:next w:val="1094"/>
    <w:link w:val="1161"/>
    <w:uiPriority w:val="29"/>
    <w:qFormat/>
    <w:pPr>
      <w:ind w:left="720" w:right="720"/>
    </w:pPr>
    <w:rPr>
      <w:i/>
    </w:rPr>
  </w:style>
  <w:style w:type="character" w:styleId="1161" w:customStyle="1">
    <w:name w:val="Quote Char"/>
    <w:link w:val="1160"/>
    <w:uiPriority w:val="29"/>
    <w:qFormat/>
    <w:rPr>
      <w:i/>
    </w:rPr>
  </w:style>
  <w:style w:type="paragraph" w:styleId="1162">
    <w:name w:val="Intense Quote"/>
    <w:basedOn w:val="1094"/>
    <w:next w:val="1094"/>
    <w:link w:val="11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63" w:customStyle="1">
    <w:name w:val="Intense Quote Char"/>
    <w:link w:val="1162"/>
    <w:uiPriority w:val="30"/>
    <w:qFormat/>
    <w:rPr>
      <w:i/>
    </w:rPr>
  </w:style>
  <w:style w:type="character" w:styleId="1164" w:customStyle="1">
    <w:name w:val="Footer Char"/>
    <w:link w:val="1118"/>
    <w:uiPriority w:val="99"/>
    <w:qFormat/>
  </w:style>
  <w:style w:type="character" w:styleId="1165" w:customStyle="1">
    <w:name w:val="Caption Char"/>
    <w:link w:val="1118"/>
    <w:uiPriority w:val="99"/>
    <w:qFormat/>
  </w:style>
  <w:style w:type="table" w:styleId="116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116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6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6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7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7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7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7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7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7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7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7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7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7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8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8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8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8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8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8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8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9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9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9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9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9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9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0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0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0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0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0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0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0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0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0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20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21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21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21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1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1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1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1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1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1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1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2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2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2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2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2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2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2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2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2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2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3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3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3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3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3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3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3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3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3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3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4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4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4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4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4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4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4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4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4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4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5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5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5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6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6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6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63"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64"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65"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66"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67"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68"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69"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7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7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7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7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7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7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7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7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7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7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8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8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8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8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8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8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8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8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8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8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9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91" w:customStyle="1">
    <w:name w:val="Footnote Text Char"/>
    <w:link w:val="1124"/>
    <w:uiPriority w:val="99"/>
    <w:qFormat/>
    <w:rPr>
      <w:sz w:val="18"/>
    </w:rPr>
  </w:style>
  <w:style w:type="character" w:styleId="1292" w:customStyle="1">
    <w:name w:val="Endnote Text Char"/>
    <w:link w:val="1117"/>
    <w:uiPriority w:val="99"/>
    <w:qFormat/>
    <w:rPr>
      <w:sz w:val="20"/>
    </w:rPr>
  </w:style>
  <w:style w:type="paragraph" w:styleId="1293" w:customStyle="1">
    <w:name w:val="TOC Heading"/>
    <w:uiPriority w:val="39"/>
    <w:unhideWhenUsed/>
    <w:qFormat/>
    <w:rPr>
      <w:rFonts w:hint="default" w:ascii="Times New Roman" w:hAnsi="Times New Roman" w:eastAsia="宋体" w:cs="Times New Roman"/>
    </w:rPr>
  </w:style>
  <w:style w:type="paragraph" w:styleId="1294" w:customStyle="1">
    <w:name w:val="标题 11"/>
    <w:basedOn w:val="1094"/>
    <w:next w:val="1094"/>
    <w:link w:val="1309"/>
    <w:uiPriority w:val="9"/>
    <w:qFormat/>
    <w:pPr>
      <w:jc w:val="center"/>
      <w:keepLines/>
      <w:keepNext/>
      <w:spacing w:before="340" w:after="330" w:line="578" w:lineRule="auto"/>
      <w:outlineLvl w:val="0"/>
    </w:pPr>
    <w:rPr>
      <w:rFonts w:ascii="Calibri" w:eastAsia="宋体"/>
      <w:b/>
      <w:bCs/>
      <w:sz w:val="44"/>
      <w:szCs w:val="44"/>
    </w:rPr>
  </w:style>
  <w:style w:type="paragraph" w:styleId="1295" w:customStyle="1">
    <w:name w:val="标题 212"/>
    <w:basedOn w:val="1094"/>
    <w:next w:val="1094"/>
    <w:link w:val="1355"/>
    <w:uiPriority w:val="9"/>
    <w:qFormat/>
    <w:pPr>
      <w:jc w:val="center"/>
      <w:keepLines/>
      <w:keepNext/>
      <w:spacing w:before="260" w:after="260" w:line="360" w:lineRule="auto"/>
      <w:tabs>
        <w:tab w:val="right" w:pos="8296" w:leader="dot"/>
      </w:tabs>
      <w:outlineLvl w:val="1"/>
    </w:pPr>
    <w:rPr>
      <w:rFonts w:ascii="Cambria" w:hAnsi="Cambria" w:eastAsia="宋体" w:cs="Times New Roman"/>
      <w:b/>
      <w:bCs/>
      <w:smallCaps/>
      <w:sz w:val="32"/>
      <w:szCs w:val="32"/>
    </w:rPr>
  </w:style>
  <w:style w:type="paragraph" w:styleId="1296" w:customStyle="1">
    <w:name w:val="标题 31"/>
    <w:basedOn w:val="1094"/>
    <w:next w:val="1094"/>
    <w:link w:val="1313"/>
    <w:uiPriority w:val="9"/>
    <w:qFormat/>
    <w:pPr>
      <w:ind w:left="720" w:hanging="720"/>
      <w:keepLines/>
      <w:keepNext/>
      <w:spacing w:before="260" w:after="260" w:line="416" w:lineRule="auto"/>
      <w:outlineLvl w:val="2"/>
    </w:pPr>
    <w:rPr>
      <w:rFonts w:ascii="Calibri" w:eastAsia="宋体"/>
      <w:b/>
      <w:bCs/>
      <w:sz w:val="32"/>
      <w:szCs w:val="32"/>
    </w:rPr>
  </w:style>
  <w:style w:type="paragraph" w:styleId="1297" w:customStyle="1">
    <w:name w:val="标题 41"/>
    <w:basedOn w:val="1094"/>
    <w:next w:val="1094"/>
    <w:link w:val="1358"/>
    <w:uiPriority w:val="9"/>
    <w:qFormat/>
    <w:pPr>
      <w:ind w:left="864" w:hanging="864"/>
      <w:keepLines/>
      <w:keepNext/>
      <w:spacing w:before="280" w:after="290" w:line="376" w:lineRule="auto"/>
      <w:outlineLvl w:val="3"/>
    </w:pPr>
    <w:rPr>
      <w:rFonts w:ascii="Cambria" w:hAnsi="Cambria" w:eastAsia="宋体"/>
      <w:b/>
      <w:bCs/>
      <w:sz w:val="28"/>
      <w:szCs w:val="28"/>
    </w:rPr>
  </w:style>
  <w:style w:type="paragraph" w:styleId="1298" w:customStyle="1">
    <w:name w:val="标题 51"/>
    <w:basedOn w:val="1094"/>
    <w:next w:val="1094"/>
    <w:link w:val="1357"/>
    <w:uiPriority w:val="9"/>
    <w:qFormat/>
    <w:pPr>
      <w:keepLines/>
      <w:keepNext/>
      <w:spacing w:line="377" w:lineRule="auto"/>
      <w:outlineLvl w:val="4"/>
    </w:pPr>
    <w:rPr>
      <w:rFonts w:ascii="Calibri"/>
      <w:b/>
      <w:bCs/>
      <w:szCs w:val="28"/>
    </w:rPr>
  </w:style>
  <w:style w:type="paragraph" w:styleId="1299" w:customStyle="1">
    <w:name w:val="标题 61"/>
    <w:basedOn w:val="1094"/>
    <w:next w:val="1094"/>
    <w:link w:val="1333"/>
    <w:uiPriority w:val="9"/>
    <w:qFormat/>
    <w:pPr>
      <w:ind w:left="1152" w:hanging="1152"/>
      <w:keepLines/>
      <w:keepNext/>
      <w:spacing w:before="240" w:after="64" w:line="320" w:lineRule="auto"/>
      <w:outlineLvl w:val="5"/>
    </w:pPr>
    <w:rPr>
      <w:rFonts w:ascii="Cambria" w:hAnsi="Cambria" w:eastAsia="宋体"/>
      <w:b/>
      <w:bCs/>
    </w:rPr>
  </w:style>
  <w:style w:type="paragraph" w:styleId="1300" w:customStyle="1">
    <w:name w:val="标题 71"/>
    <w:basedOn w:val="1094"/>
    <w:next w:val="1094"/>
    <w:link w:val="1325"/>
    <w:uiPriority w:val="9"/>
    <w:qFormat/>
    <w:pPr>
      <w:ind w:left="1296" w:hanging="1296"/>
      <w:keepLines/>
      <w:keepNext/>
      <w:spacing w:before="240" w:after="64" w:line="320" w:lineRule="auto"/>
      <w:outlineLvl w:val="6"/>
    </w:pPr>
    <w:rPr>
      <w:rFonts w:ascii="Calibri" w:eastAsia="宋体"/>
      <w:b/>
      <w:bCs/>
    </w:rPr>
  </w:style>
  <w:style w:type="paragraph" w:styleId="1301" w:customStyle="1">
    <w:name w:val="标题 81"/>
    <w:basedOn w:val="1094"/>
    <w:next w:val="1094"/>
    <w:link w:val="1340"/>
    <w:uiPriority w:val="9"/>
    <w:qFormat/>
    <w:pPr>
      <w:ind w:left="1440" w:hanging="1440"/>
      <w:keepLines/>
      <w:keepNext/>
      <w:spacing w:before="240" w:after="64" w:line="320" w:lineRule="auto"/>
      <w:outlineLvl w:val="7"/>
    </w:pPr>
    <w:rPr>
      <w:rFonts w:ascii="Cambria" w:hAnsi="Cambria" w:eastAsia="宋体"/>
    </w:rPr>
  </w:style>
  <w:style w:type="paragraph" w:styleId="1302" w:customStyle="1">
    <w:name w:val="标题 91"/>
    <w:basedOn w:val="1094"/>
    <w:next w:val="1094"/>
    <w:link w:val="1324"/>
    <w:uiPriority w:val="9"/>
    <w:qFormat/>
    <w:pPr>
      <w:ind w:left="1584" w:hanging="1584"/>
      <w:keepLines/>
      <w:keepNext/>
      <w:spacing w:before="240" w:after="64" w:line="320" w:lineRule="auto"/>
      <w:outlineLvl w:val="8"/>
    </w:pPr>
    <w:rPr>
      <w:rFonts w:ascii="Cambria" w:hAnsi="Cambria" w:eastAsia="宋体"/>
      <w:sz w:val="21"/>
      <w:szCs w:val="21"/>
    </w:rPr>
  </w:style>
  <w:style w:type="character" w:styleId="1303" w:customStyle="1">
    <w:name w:val="默认段落字体11"/>
    <w:link w:val="1094"/>
    <w:uiPriority w:val="1"/>
    <w:unhideWhenUsed/>
    <w:qFormat/>
  </w:style>
  <w:style w:type="table" w:styleId="1304" w:customStyle="1">
    <w:name w:val="普通表格1"/>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0"/>
      <w:szCs w:val="20"/>
    </w:rPr>
    <w:tblPr/>
  </w:style>
  <w:style w:type="character" w:styleId="1305" w:customStyle="1">
    <w:name w:val="Plain Text Char1"/>
    <w:link w:val="1094"/>
    <w:uiPriority w:val="99"/>
    <w:semiHidden/>
    <w:qFormat/>
    <w:rPr>
      <w:rFonts w:ascii="宋体" w:hAnsi="Courier New" w:cs="Courier New"/>
      <w:sz w:val="21"/>
      <w:szCs w:val="21"/>
    </w:rPr>
  </w:style>
  <w:style w:type="character" w:styleId="1306" w:customStyle="1">
    <w:name w:val="font101"/>
    <w:link w:val="1094"/>
    <w:uiPriority w:val="99"/>
    <w:qFormat/>
    <w:rPr>
      <w:rFonts w:ascii="宋体" w:hAnsi="宋体" w:eastAsia="宋体" w:cs="宋体"/>
      <w:color w:val="000000"/>
      <w:sz w:val="20"/>
      <w:szCs w:val="20"/>
      <w:u w:val="none"/>
    </w:rPr>
  </w:style>
  <w:style w:type="character" w:styleId="1307" w:customStyle="1">
    <w:name w:val="font31"/>
    <w:basedOn w:val="1104"/>
    <w:link w:val="1094"/>
    <w:uiPriority w:val="0"/>
    <w:qFormat/>
    <w:rPr>
      <w:rFonts w:hint="eastAsia" w:ascii="宋体" w:hAnsi="宋体" w:eastAsia="宋体" w:cs="宋体"/>
      <w:color w:val="000000"/>
      <w:sz w:val="21"/>
      <w:szCs w:val="21"/>
      <w:u w:val="none"/>
    </w:rPr>
  </w:style>
  <w:style w:type="character" w:styleId="1308" w:customStyle="1">
    <w:name w:val="apple-converted-space"/>
    <w:link w:val="1094"/>
    <w:uiPriority w:val="99"/>
    <w:qFormat/>
    <w:rPr>
      <w:rFonts w:cs="Times New Roman"/>
    </w:rPr>
  </w:style>
  <w:style w:type="character" w:styleId="1309" w:customStyle="1">
    <w:name w:val="标题 1 Char"/>
    <w:link w:val="1294"/>
    <w:uiPriority w:val="9"/>
    <w:qFormat/>
    <w:rPr>
      <w:rFonts w:ascii="Calibri" w:hAnsi="Calibri" w:cs="Times New Roman"/>
      <w:b/>
      <w:bCs/>
      <w:sz w:val="44"/>
      <w:szCs w:val="44"/>
    </w:rPr>
  </w:style>
  <w:style w:type="character" w:styleId="1310" w:customStyle="1">
    <w:name w:val="正文文本 Char"/>
    <w:link w:val="1311"/>
    <w:uiPriority w:val="99"/>
    <w:qFormat/>
    <w:rPr>
      <w:rFonts w:ascii="Calibri" w:hAnsi="Calibri" w:cs="Times New Roman"/>
      <w:sz w:val="24"/>
      <w:szCs w:val="24"/>
    </w:rPr>
  </w:style>
  <w:style w:type="paragraph" w:styleId="1311" w:customStyle="1">
    <w:name w:val="正文文本12"/>
    <w:basedOn w:val="1094"/>
    <w:next w:val="1094"/>
    <w:link w:val="1310"/>
    <w:uiPriority w:val="99"/>
    <w:qFormat/>
    <w:pPr>
      <w:spacing w:after="120"/>
    </w:pPr>
    <w:rPr>
      <w:rFonts w:ascii="Calibri" w:eastAsia="宋体"/>
    </w:rPr>
  </w:style>
  <w:style w:type="character" w:styleId="1312" w:customStyle="1">
    <w:name w:val="已访问的超链接1"/>
    <w:link w:val="1094"/>
    <w:uiPriority w:val="0"/>
    <w:qFormat/>
    <w:rPr>
      <w:rFonts w:hint="eastAsia" w:ascii="宋体" w:hAnsi="宋体" w:eastAsia="宋体" w:cs="宋体"/>
      <w:color w:val="333333"/>
      <w:sz w:val="18"/>
      <w:szCs w:val="18"/>
      <w:u w:val="none"/>
    </w:rPr>
  </w:style>
  <w:style w:type="character" w:styleId="1313" w:customStyle="1">
    <w:name w:val="标题 3 Char"/>
    <w:link w:val="1296"/>
    <w:uiPriority w:val="9"/>
    <w:semiHidden/>
    <w:qFormat/>
    <w:rPr>
      <w:rFonts w:ascii="Calibri" w:hAnsi="Calibri" w:eastAsia="宋体" w:cs="Times New Roman"/>
      <w:b/>
      <w:bCs/>
      <w:sz w:val="32"/>
      <w:szCs w:val="32"/>
    </w:rPr>
  </w:style>
  <w:style w:type="character" w:styleId="1314" w:customStyle="1">
    <w:name w:val="+正文 Char Char"/>
    <w:link w:val="1315"/>
    <w:uiPriority w:val="0"/>
    <w:qFormat/>
    <w:rPr>
      <w:sz w:val="24"/>
      <w:szCs w:val="28"/>
    </w:rPr>
  </w:style>
  <w:style w:type="paragraph" w:styleId="1315" w:customStyle="1">
    <w:name w:val="+正文 Char"/>
    <w:basedOn w:val="1094"/>
    <w:link w:val="1314"/>
    <w:uiPriority w:val="0"/>
    <w:qFormat/>
    <w:pPr>
      <w:spacing w:line="360" w:lineRule="auto"/>
    </w:pPr>
    <w:rPr>
      <w:rFonts w:ascii="Calibri" w:eastAsia="宋体"/>
      <w:szCs w:val="28"/>
    </w:rPr>
  </w:style>
  <w:style w:type="character" w:styleId="1316" w:customStyle="1">
    <w:name w:val="Header Char"/>
    <w:link w:val="1094"/>
    <w:uiPriority w:val="99"/>
    <w:qFormat/>
    <w:rPr>
      <w:rFonts w:ascii="Calibri" w:hAnsi="Calibri"/>
      <w:sz w:val="18"/>
    </w:rPr>
  </w:style>
  <w:style w:type="character" w:styleId="1317" w:customStyle="1">
    <w:name w:val="页码1"/>
    <w:link w:val="1094"/>
    <w:uiPriority w:val="99"/>
    <w:qFormat/>
    <w:rPr>
      <w:rFonts w:cs="Times New Roman"/>
    </w:rPr>
  </w:style>
  <w:style w:type="character" w:styleId="1318" w:customStyle="1">
    <w:name w:val="明显强调"/>
    <w:link w:val="1094"/>
    <w:uiPriority w:val="21"/>
    <w:qFormat/>
    <w:rPr>
      <w:b/>
      <w:bCs/>
      <w:i/>
      <w:iCs/>
      <w:color w:val="4f81bd"/>
    </w:rPr>
  </w:style>
  <w:style w:type="character" w:styleId="1319" w:customStyle="1">
    <w:name w:val="列出段落 Char"/>
    <w:link w:val="1320"/>
    <w:uiPriority w:val="0"/>
    <w:qFormat/>
    <w:rPr>
      <w:sz w:val="21"/>
      <w:szCs w:val="24"/>
    </w:rPr>
  </w:style>
  <w:style w:type="paragraph" w:styleId="1320" w:customStyle="1">
    <w:name w:val="列出段落"/>
    <w:basedOn w:val="1094"/>
    <w:link w:val="1319"/>
    <w:uiPriority w:val="0"/>
    <w:qFormat/>
    <w:pPr>
      <w:ind w:firstLine="420"/>
    </w:pPr>
    <w:rPr>
      <w:rFonts w:ascii="Calibri" w:eastAsia="宋体"/>
      <w:sz w:val="21"/>
    </w:rPr>
  </w:style>
  <w:style w:type="character" w:styleId="1321" w:customStyle="1">
    <w:name w:val="Plain Text Char"/>
    <w:link w:val="1094"/>
    <w:uiPriority w:val="99"/>
    <w:qFormat/>
    <w:rPr>
      <w:rFonts w:ascii="宋体" w:hAnsi="Courier New"/>
      <w:sz w:val="21"/>
    </w:rPr>
  </w:style>
  <w:style w:type="character" w:styleId="1322" w:customStyle="1">
    <w:name w:val="超链接1"/>
    <w:link w:val="1094"/>
    <w:uiPriority w:val="99"/>
    <w:qFormat/>
    <w:rPr>
      <w:rFonts w:cs="Times New Roman"/>
      <w:color w:val="0000ff"/>
      <w:u w:val="single"/>
    </w:rPr>
  </w:style>
  <w:style w:type="character" w:styleId="1323" w:customStyle="1">
    <w:name w:val="font91"/>
    <w:link w:val="1094"/>
    <w:uiPriority w:val="99"/>
    <w:qFormat/>
    <w:rPr>
      <w:rFonts w:ascii="仿宋_GB2312" w:eastAsia="仿宋_GB2312" w:cs="仿宋_GB2312"/>
      <w:color w:val="ff0000"/>
      <w:sz w:val="24"/>
      <w:szCs w:val="24"/>
      <w:u w:val="none"/>
    </w:rPr>
  </w:style>
  <w:style w:type="character" w:styleId="1324" w:customStyle="1">
    <w:name w:val="标题 9 Char"/>
    <w:link w:val="1302"/>
    <w:uiPriority w:val="9"/>
    <w:semiHidden/>
    <w:qFormat/>
    <w:rPr>
      <w:rFonts w:ascii="Cambria" w:hAnsi="Cambria" w:eastAsia="宋体" w:cs="Times New Roman"/>
      <w:sz w:val="21"/>
      <w:szCs w:val="21"/>
    </w:rPr>
  </w:style>
  <w:style w:type="character" w:styleId="1325" w:customStyle="1">
    <w:name w:val="标题 7 Char"/>
    <w:link w:val="1300"/>
    <w:uiPriority w:val="9"/>
    <w:semiHidden/>
    <w:qFormat/>
    <w:rPr>
      <w:rFonts w:ascii="Calibri" w:hAnsi="Calibri" w:eastAsia="宋体" w:cs="Times New Roman"/>
      <w:b/>
      <w:bCs/>
      <w:sz w:val="24"/>
      <w:szCs w:val="24"/>
    </w:rPr>
  </w:style>
  <w:style w:type="character" w:styleId="1326" w:customStyle="1">
    <w:name w:val="font51"/>
    <w:basedOn w:val="1303"/>
    <w:link w:val="1094"/>
    <w:uiPriority w:val="0"/>
    <w:qFormat/>
    <w:rPr>
      <w:rFonts w:hint="eastAsia" w:ascii="微软雅黑" w:hAnsi="微软雅黑" w:eastAsia="微软雅黑" w:cs="微软雅黑"/>
      <w:color w:val="000000"/>
      <w:sz w:val="20"/>
      <w:szCs w:val="20"/>
      <w:u w:val="none"/>
    </w:rPr>
  </w:style>
  <w:style w:type="character" w:styleId="1327" w:customStyle="1">
    <w:name w:val="强调1"/>
    <w:basedOn w:val="1303"/>
    <w:link w:val="1094"/>
    <w:uiPriority w:val="20"/>
    <w:qFormat/>
    <w:rPr>
      <w:i/>
    </w:rPr>
  </w:style>
  <w:style w:type="character" w:styleId="1328" w:customStyle="1">
    <w:name w:val="NormalCharacter1"/>
    <w:link w:val="1094"/>
    <w:uiPriority w:val="0"/>
    <w:qFormat/>
    <w:rPr>
      <w:rFonts w:ascii="仿宋_GB2312" w:eastAsia="仿宋_GB2312"/>
      <w:sz w:val="24"/>
      <w:szCs w:val="24"/>
      <w:lang w:val="en-US" w:eastAsia="zh-CN" w:bidi="ar-SA"/>
    </w:rPr>
  </w:style>
  <w:style w:type="character" w:styleId="1329" w:customStyle="1">
    <w:name w:val="日期 Char"/>
    <w:link w:val="1330"/>
    <w:uiPriority w:val="99"/>
    <w:semiHidden/>
    <w:qFormat/>
    <w:rPr>
      <w:rFonts w:ascii="Calibri" w:hAnsi="Calibri" w:cs="Times New Roman"/>
      <w:sz w:val="24"/>
      <w:szCs w:val="24"/>
    </w:rPr>
  </w:style>
  <w:style w:type="paragraph" w:styleId="1330" w:customStyle="1">
    <w:name w:val="日期1"/>
    <w:basedOn w:val="1094"/>
    <w:next w:val="1094"/>
    <w:link w:val="1329"/>
    <w:uiPriority w:val="99"/>
    <w:qFormat/>
    <w:rPr>
      <w:rFonts w:ascii="Calibri" w:eastAsia="宋体"/>
    </w:rPr>
  </w:style>
  <w:style w:type="character" w:styleId="1331" w:customStyle="1">
    <w:name w:val="font21"/>
    <w:basedOn w:val="1303"/>
    <w:link w:val="1094"/>
    <w:uiPriority w:val="99"/>
    <w:qFormat/>
    <w:rPr>
      <w:rFonts w:ascii="仿宋_GB2312" w:eastAsia="仿宋_GB2312" w:cs="仿宋_GB2312"/>
      <w:b/>
      <w:color w:val="000000"/>
      <w:sz w:val="24"/>
      <w:szCs w:val="24"/>
      <w:u w:val="none"/>
    </w:rPr>
  </w:style>
  <w:style w:type="character" w:styleId="1332" w:customStyle="1">
    <w:name w:val="font01"/>
    <w:basedOn w:val="1303"/>
    <w:link w:val="1094"/>
    <w:uiPriority w:val="99"/>
    <w:qFormat/>
    <w:rPr>
      <w:rFonts w:ascii="仿宋_GB2312" w:eastAsia="仿宋_GB2312" w:cs="仿宋_GB2312"/>
      <w:color w:val="000000"/>
      <w:sz w:val="24"/>
      <w:szCs w:val="24"/>
      <w:u w:val="none"/>
    </w:rPr>
  </w:style>
  <w:style w:type="character" w:styleId="1333" w:customStyle="1">
    <w:name w:val="标题 6 Char"/>
    <w:link w:val="1299"/>
    <w:uiPriority w:val="9"/>
    <w:semiHidden/>
    <w:qFormat/>
    <w:rPr>
      <w:rFonts w:ascii="Cambria" w:hAnsi="Cambria" w:eastAsia="宋体" w:cs="Times New Roman"/>
      <w:b/>
      <w:bCs/>
      <w:sz w:val="24"/>
      <w:szCs w:val="24"/>
    </w:rPr>
  </w:style>
  <w:style w:type="character" w:styleId="1334" w:customStyle="1">
    <w:name w:val="font41"/>
    <w:basedOn w:val="1104"/>
    <w:link w:val="1094"/>
    <w:uiPriority w:val="0"/>
    <w:qFormat/>
    <w:rPr>
      <w:rFonts w:ascii="Calibri" w:hAnsi="Calibri" w:cs="Calibri"/>
      <w:color w:val="000000"/>
      <w:sz w:val="24"/>
      <w:szCs w:val="24"/>
      <w:u w:val="none"/>
    </w:rPr>
  </w:style>
  <w:style w:type="character" w:styleId="1335" w:customStyle="1">
    <w:name w:val="批注主题 Char"/>
    <w:link w:val="1336"/>
    <w:uiPriority w:val="99"/>
    <w:qFormat/>
    <w:rPr>
      <w:rFonts w:ascii="Calibri" w:hAnsi="Calibri" w:cs="Times New Roman"/>
      <w:b/>
      <w:bCs/>
      <w:sz w:val="24"/>
      <w:szCs w:val="24"/>
    </w:rPr>
  </w:style>
  <w:style w:type="paragraph" w:styleId="1336" w:customStyle="1">
    <w:name w:val="批注主题1"/>
    <w:basedOn w:val="1337"/>
    <w:next w:val="1337"/>
    <w:link w:val="1335"/>
    <w:uiPriority w:val="99"/>
    <w:qFormat/>
    <w:rPr>
      <w:b/>
      <w:bCs/>
    </w:rPr>
  </w:style>
  <w:style w:type="paragraph" w:styleId="1337" w:customStyle="1">
    <w:name w:val="批注文字1"/>
    <w:basedOn w:val="1094"/>
    <w:link w:val="1365"/>
    <w:uiPriority w:val="99"/>
    <w:qFormat/>
    <w:pPr>
      <w:jc w:val="left"/>
    </w:pPr>
    <w:rPr>
      <w:rFonts w:ascii="Calibri" w:eastAsia="宋体"/>
    </w:rPr>
  </w:style>
  <w:style w:type="character" w:styleId="1338" w:customStyle="1">
    <w:name w:val="font71"/>
    <w:basedOn w:val="1303"/>
    <w:link w:val="1094"/>
    <w:uiPriority w:val="99"/>
    <w:qFormat/>
    <w:rPr>
      <w:rFonts w:ascii="仿宋_GB2312" w:eastAsia="仿宋_GB2312" w:cs="仿宋_GB2312"/>
      <w:color w:val="000000"/>
      <w:sz w:val="24"/>
      <w:szCs w:val="24"/>
      <w:u w:val="none"/>
    </w:rPr>
  </w:style>
  <w:style w:type="character" w:styleId="1339" w:customStyle="1">
    <w:name w:val="font61"/>
    <w:basedOn w:val="1303"/>
    <w:link w:val="1094"/>
    <w:uiPriority w:val="0"/>
    <w:qFormat/>
    <w:rPr>
      <w:rFonts w:ascii="Segoe UI Symbol" w:hAnsi="Segoe UI Symbol" w:eastAsia="Segoe UI Symbol" w:cs="Segoe UI Symbol"/>
      <w:color w:val="000000"/>
      <w:sz w:val="24"/>
      <w:szCs w:val="24"/>
      <w:u w:val="none"/>
    </w:rPr>
  </w:style>
  <w:style w:type="character" w:styleId="1340" w:customStyle="1">
    <w:name w:val="标题 8 Char"/>
    <w:link w:val="1301"/>
    <w:uiPriority w:val="9"/>
    <w:semiHidden/>
    <w:qFormat/>
    <w:rPr>
      <w:rFonts w:ascii="Cambria" w:hAnsi="Cambria" w:eastAsia="宋体" w:cs="Times New Roman"/>
      <w:sz w:val="24"/>
      <w:szCs w:val="24"/>
    </w:rPr>
  </w:style>
  <w:style w:type="character" w:styleId="1341" w:customStyle="1">
    <w:name w:val="批注引用1"/>
    <w:link w:val="1094"/>
    <w:uiPriority w:val="99"/>
    <w:qFormat/>
    <w:rPr>
      <w:rFonts w:cs="Times New Roman"/>
      <w:sz w:val="21"/>
      <w:szCs w:val="21"/>
    </w:rPr>
  </w:style>
  <w:style w:type="character" w:styleId="1342" w:customStyle="1">
    <w:name w:val="*正文 Char"/>
    <w:link w:val="1094"/>
    <w:uiPriority w:val="0"/>
    <w:qFormat/>
    <w:rPr>
      <w:rFonts w:ascii="宋体" w:hAnsi="宋体" w:cs="黑体"/>
      <w:color w:val="000000"/>
      <w:sz w:val="24"/>
      <w:szCs w:val="24"/>
    </w:rPr>
  </w:style>
  <w:style w:type="character" w:styleId="1343" w:customStyle="1">
    <w:name w:val="font131"/>
    <w:link w:val="1094"/>
    <w:uiPriority w:val="99"/>
    <w:qFormat/>
    <w:rPr>
      <w:rFonts w:ascii="Tahoma" w:hAnsi="Tahoma" w:cs="Tahoma"/>
      <w:color w:val="333333"/>
      <w:sz w:val="20"/>
      <w:szCs w:val="20"/>
      <w:u w:val="none"/>
    </w:rPr>
  </w:style>
  <w:style w:type="character" w:styleId="1344" w:customStyle="1">
    <w:name w:val="*正文 Char Char"/>
    <w:link w:val="1345"/>
    <w:uiPriority w:val="0"/>
    <w:qFormat/>
    <w:rPr>
      <w:rFonts w:ascii="宋体" w:hAnsi="宋体"/>
      <w:sz w:val="24"/>
      <w:szCs w:val="24"/>
      <w:lang w:eastAsia="en-US" w:bidi="en-US"/>
    </w:rPr>
  </w:style>
  <w:style w:type="paragraph" w:styleId="1345" w:customStyle="1">
    <w:name w:val="*正文"/>
    <w:basedOn w:val="1094"/>
    <w:link w:val="1344"/>
    <w:uiPriority w:val="0"/>
    <w:qFormat/>
    <w:pPr>
      <w:ind w:firstLine="480"/>
      <w:jc w:val="left"/>
      <w:spacing w:after="50" w:line="360" w:lineRule="auto"/>
      <w:widowControl/>
    </w:pPr>
    <w:rPr>
      <w:rFonts w:ascii="宋体" w:hAnsi="宋体" w:eastAsia="宋体"/>
      <w:lang w:eastAsia="en-US" w:bidi="en-US"/>
    </w:rPr>
  </w:style>
  <w:style w:type="character" w:styleId="1346" w:customStyle="1">
    <w:name w:val="标题 Char"/>
    <w:link w:val="1347"/>
    <w:uiPriority w:val="10"/>
    <w:qFormat/>
    <w:rPr>
      <w:rFonts w:ascii="Cambria" w:hAnsi="Cambria" w:eastAsia="仿宋_GB2312"/>
      <w:b/>
      <w:bCs/>
      <w:sz w:val="36"/>
      <w:szCs w:val="32"/>
    </w:rPr>
  </w:style>
  <w:style w:type="paragraph" w:styleId="1347" w:customStyle="1">
    <w:name w:val="标题1"/>
    <w:basedOn w:val="1094"/>
    <w:next w:val="1094"/>
    <w:link w:val="1346"/>
    <w:uiPriority w:val="10"/>
    <w:qFormat/>
    <w:pPr>
      <w:jc w:val="center"/>
      <w:spacing w:before="300" w:after="300"/>
      <w:outlineLvl w:val="0"/>
    </w:pPr>
    <w:rPr>
      <w:rFonts w:ascii="Cambria" w:hAnsi="Cambria"/>
      <w:b/>
      <w:bCs/>
      <w:sz w:val="36"/>
      <w:szCs w:val="32"/>
    </w:rPr>
  </w:style>
  <w:style w:type="character" w:styleId="1348" w:customStyle="1">
    <w:name w:val="页脚 Char"/>
    <w:link w:val="1349"/>
    <w:uiPriority w:val="99"/>
    <w:qFormat/>
    <w:rPr>
      <w:rFonts w:ascii="Calibri" w:hAnsi="Calibri" w:cs="Times New Roman"/>
      <w:sz w:val="18"/>
      <w:szCs w:val="18"/>
    </w:rPr>
  </w:style>
  <w:style w:type="paragraph" w:styleId="1349" w:customStyle="1">
    <w:name w:val="页脚1"/>
    <w:basedOn w:val="1094"/>
    <w:link w:val="1348"/>
    <w:uiPriority w:val="99"/>
    <w:qFormat/>
    <w:pPr>
      <w:jc w:val="left"/>
      <w:tabs>
        <w:tab w:val="center" w:pos="4153" w:leader="none"/>
        <w:tab w:val="right" w:pos="8306" w:leader="none"/>
      </w:tabs>
    </w:pPr>
    <w:rPr>
      <w:rFonts w:ascii="Calibri" w:eastAsia="宋体"/>
      <w:sz w:val="18"/>
      <w:szCs w:val="18"/>
    </w:rPr>
  </w:style>
  <w:style w:type="character" w:styleId="1350" w:customStyle="1">
    <w:name w:val="正文文本缩进 Char"/>
    <w:link w:val="1138"/>
    <w:uiPriority w:val="99"/>
    <w:semiHidden/>
    <w:qFormat/>
    <w:rPr>
      <w:rFonts w:ascii="仿宋_GB2312" w:eastAsia="仿宋_GB2312"/>
      <w:sz w:val="24"/>
      <w:szCs w:val="24"/>
    </w:rPr>
  </w:style>
  <w:style w:type="character" w:styleId="1351" w:customStyle="1">
    <w:name w:val="文档结构图 Char"/>
    <w:link w:val="1352"/>
    <w:uiPriority w:val="99"/>
    <w:semiHidden/>
    <w:qFormat/>
    <w:rPr>
      <w:rFonts w:ascii="宋体" w:hAnsi="Calibri"/>
      <w:sz w:val="18"/>
      <w:szCs w:val="18"/>
    </w:rPr>
  </w:style>
  <w:style w:type="paragraph" w:styleId="1352" w:customStyle="1">
    <w:name w:val="文档结构图1"/>
    <w:basedOn w:val="1094"/>
    <w:link w:val="1351"/>
    <w:uiPriority w:val="99"/>
    <w:unhideWhenUsed/>
    <w:qFormat/>
    <w:rPr>
      <w:rFonts w:ascii="宋体" w:eastAsia="宋体"/>
      <w:sz w:val="18"/>
      <w:szCs w:val="18"/>
    </w:rPr>
  </w:style>
  <w:style w:type="character" w:styleId="1353" w:customStyle="1">
    <w:name w:val="页眉 Char"/>
    <w:link w:val="1354"/>
    <w:uiPriority w:val="99"/>
    <w:qFormat/>
    <w:rPr>
      <w:rFonts w:ascii="Calibri" w:hAnsi="Calibri" w:cs="Times New Roman"/>
      <w:sz w:val="18"/>
      <w:szCs w:val="18"/>
    </w:rPr>
  </w:style>
  <w:style w:type="paragraph" w:styleId="1354" w:customStyle="1">
    <w:name w:val="页眉1"/>
    <w:basedOn w:val="1094"/>
    <w:link w:val="1353"/>
    <w:uiPriority w:val="99"/>
    <w:qFormat/>
    <w:pPr>
      <w:jc w:val="center"/>
      <w:tabs>
        <w:tab w:val="center" w:pos="4153" w:leader="none"/>
        <w:tab w:val="right" w:pos="8306" w:leader="none"/>
      </w:tabs>
      <w:pBdr>
        <w:bottom w:val="single" w:color="000000" w:sz="6" w:space="1"/>
      </w:pBdr>
    </w:pPr>
    <w:rPr>
      <w:rFonts w:ascii="Calibri" w:eastAsia="宋体"/>
      <w:sz w:val="18"/>
      <w:szCs w:val="18"/>
    </w:rPr>
  </w:style>
  <w:style w:type="character" w:styleId="1355" w:customStyle="1">
    <w:name w:val="标题 2 Char"/>
    <w:link w:val="1295"/>
    <w:uiPriority w:val="9"/>
    <w:qFormat/>
    <w:rPr>
      <w:rFonts w:ascii="Cambria" w:hAnsi="Cambria" w:eastAsia="宋体" w:cs="Times New Roman"/>
      <w:b/>
      <w:bCs/>
      <w:sz w:val="32"/>
      <w:szCs w:val="32"/>
    </w:rPr>
  </w:style>
  <w:style w:type="character" w:styleId="1356" w:customStyle="1">
    <w:name w:val="默认段落字体1"/>
    <w:link w:val="1094"/>
    <w:uiPriority w:val="0"/>
    <w:qFormat/>
  </w:style>
  <w:style w:type="character" w:styleId="1357" w:customStyle="1">
    <w:name w:val="标题 5 Char"/>
    <w:link w:val="1298"/>
    <w:uiPriority w:val="9"/>
    <w:qFormat/>
    <w:rPr>
      <w:rFonts w:ascii="Calibri" w:hAnsi="Calibri" w:eastAsia="仿宋_GB2312"/>
      <w:b/>
      <w:bCs/>
      <w:sz w:val="24"/>
      <w:szCs w:val="28"/>
    </w:rPr>
  </w:style>
  <w:style w:type="character" w:styleId="1358" w:customStyle="1">
    <w:name w:val="标题 4 Char"/>
    <w:link w:val="1297"/>
    <w:uiPriority w:val="9"/>
    <w:semiHidden/>
    <w:qFormat/>
    <w:rPr>
      <w:rFonts w:ascii="Cambria" w:hAnsi="Cambria" w:eastAsia="宋体" w:cs="Times New Roman"/>
      <w:b/>
      <w:bCs/>
      <w:sz w:val="28"/>
      <w:szCs w:val="28"/>
    </w:rPr>
  </w:style>
  <w:style w:type="character" w:styleId="1359" w:customStyle="1">
    <w:name w:val="font141"/>
    <w:link w:val="1094"/>
    <w:uiPriority w:val="99"/>
    <w:qFormat/>
    <w:rPr>
      <w:rFonts w:ascii="Tahoma" w:hAnsi="Tahoma" w:cs="Tahoma"/>
      <w:color w:val="000000"/>
      <w:sz w:val="20"/>
      <w:szCs w:val="20"/>
      <w:u w:val="none"/>
    </w:rPr>
  </w:style>
  <w:style w:type="character" w:styleId="1360" w:customStyle="1">
    <w:name w:val="样式 宋体 五号 首行缩进:  0.95 厘米 Char"/>
    <w:link w:val="1361"/>
    <w:uiPriority w:val="0"/>
    <w:qFormat/>
    <w:rPr>
      <w:rFonts w:ascii="宋体" w:hAnsi="宋体" w:cs="宋体"/>
      <w:sz w:val="24"/>
      <w:szCs w:val="24"/>
    </w:rPr>
  </w:style>
  <w:style w:type="paragraph" w:styleId="1361" w:customStyle="1">
    <w:name w:val="样式 宋体 五号 首行缩进:  0.95 厘米"/>
    <w:basedOn w:val="1094"/>
    <w:link w:val="1360"/>
    <w:uiPriority w:val="0"/>
    <w:qFormat/>
    <w:pPr>
      <w:ind w:firstLine="540"/>
      <w:spacing w:line="360" w:lineRule="auto"/>
      <w:tabs>
        <w:tab w:val="left" w:pos="4860" w:leader="none"/>
      </w:tabs>
    </w:pPr>
    <w:rPr>
      <w:rFonts w:ascii="宋体" w:hAnsi="宋体" w:eastAsia="宋体"/>
    </w:rPr>
  </w:style>
  <w:style w:type="character" w:styleId="1362" w:customStyle="1">
    <w:name w:val="批注框文本 Char"/>
    <w:link w:val="1363"/>
    <w:uiPriority w:val="99"/>
    <w:qFormat/>
    <w:rPr>
      <w:rFonts w:ascii="Calibri" w:hAnsi="Calibri" w:cs="Times New Roman"/>
      <w:sz w:val="18"/>
      <w:szCs w:val="18"/>
    </w:rPr>
  </w:style>
  <w:style w:type="paragraph" w:styleId="1363" w:customStyle="1">
    <w:name w:val="批注框文本1"/>
    <w:basedOn w:val="1094"/>
    <w:link w:val="1362"/>
    <w:uiPriority w:val="99"/>
    <w:qFormat/>
    <w:rPr>
      <w:rFonts w:ascii="Calibri" w:eastAsia="宋体"/>
      <w:sz w:val="18"/>
      <w:szCs w:val="18"/>
    </w:rPr>
  </w:style>
  <w:style w:type="character" w:styleId="1364" w:customStyle="1">
    <w:name w:val="正文首行缩进 Char"/>
    <w:link w:val="1142"/>
    <w:uiPriority w:val="0"/>
    <w:qFormat/>
    <w:rPr>
      <w:rFonts w:ascii="Times New Roman" w:hAnsi="Times New Roman" w:cs="Times New Roman"/>
      <w:sz w:val="21"/>
      <w:szCs w:val="22"/>
    </w:rPr>
  </w:style>
  <w:style w:type="character" w:styleId="1365" w:customStyle="1">
    <w:name w:val="批注文字 Char"/>
    <w:link w:val="1337"/>
    <w:uiPriority w:val="99"/>
    <w:qFormat/>
    <w:rPr>
      <w:rFonts w:ascii="Calibri" w:hAnsi="Calibri" w:cs="Times New Roman"/>
      <w:sz w:val="24"/>
      <w:szCs w:val="24"/>
    </w:rPr>
  </w:style>
  <w:style w:type="character" w:styleId="1366" w:customStyle="1">
    <w:name w:val="font81"/>
    <w:link w:val="1094"/>
    <w:uiPriority w:val="99"/>
    <w:qFormat/>
    <w:rPr>
      <w:rFonts w:ascii="仿宋_GB2312" w:eastAsia="仿宋_GB2312" w:cs="仿宋_GB2312"/>
      <w:b/>
      <w:color w:val="000000"/>
      <w:sz w:val="24"/>
      <w:szCs w:val="24"/>
      <w:u w:val="none"/>
    </w:rPr>
  </w:style>
  <w:style w:type="character" w:styleId="1367" w:customStyle="1">
    <w:name w:val="正文文本缩进 2 Char"/>
    <w:link w:val="1368"/>
    <w:uiPriority w:val="99"/>
    <w:semiHidden/>
    <w:qFormat/>
    <w:rPr>
      <w:rFonts w:ascii="Calibri" w:hAnsi="Calibri" w:cs="Times New Roman"/>
      <w:sz w:val="24"/>
      <w:szCs w:val="24"/>
    </w:rPr>
  </w:style>
  <w:style w:type="paragraph" w:styleId="1368" w:customStyle="1">
    <w:name w:val="正文文本缩进 21"/>
    <w:basedOn w:val="1094"/>
    <w:link w:val="1367"/>
    <w:uiPriority w:val="99"/>
    <w:qFormat/>
    <w:pPr>
      <w:ind w:firstLine="475"/>
      <w:spacing w:line="10" w:lineRule="atLeast"/>
    </w:pPr>
    <w:rPr>
      <w:rFonts w:ascii="Calibri" w:eastAsia="宋体"/>
    </w:rPr>
  </w:style>
  <w:style w:type="character" w:styleId="1369" w:customStyle="1">
    <w:name w:val="font111"/>
    <w:link w:val="1094"/>
    <w:uiPriority w:val="99"/>
    <w:qFormat/>
    <w:rPr>
      <w:rFonts w:ascii="Verdana" w:hAnsi="Verdana" w:cs="Verdana"/>
      <w:color w:val="333333"/>
      <w:sz w:val="20"/>
      <w:szCs w:val="20"/>
      <w:u w:val="none"/>
    </w:rPr>
  </w:style>
  <w:style w:type="character" w:styleId="1370" w:customStyle="1">
    <w:name w:val="bsharetext"/>
    <w:basedOn w:val="1303"/>
    <w:link w:val="1094"/>
    <w:uiPriority w:val="0"/>
    <w:qFormat/>
  </w:style>
  <w:style w:type="character" w:styleId="1371" w:customStyle="1">
    <w:name w:val="纯文本 Char"/>
    <w:link w:val="1372"/>
    <w:uiPriority w:val="99"/>
    <w:qFormat/>
    <w:rPr>
      <w:rFonts w:ascii="宋体" w:hAnsi="Courier New" w:cs="Courier New"/>
      <w:sz w:val="21"/>
      <w:szCs w:val="21"/>
    </w:rPr>
  </w:style>
  <w:style w:type="paragraph" w:styleId="1372" w:customStyle="1">
    <w:name w:val="纯文本11"/>
    <w:basedOn w:val="1094"/>
    <w:link w:val="1371"/>
    <w:uiPriority w:val="99"/>
    <w:qFormat/>
    <w:pPr>
      <w:ind w:firstLine="200"/>
      <w:spacing w:line="360" w:lineRule="auto"/>
    </w:pPr>
    <w:rPr>
      <w:rFonts w:ascii="宋体" w:hAnsi="Courier New" w:eastAsia="宋体"/>
      <w:sz w:val="21"/>
      <w:szCs w:val="21"/>
    </w:rPr>
  </w:style>
  <w:style w:type="character" w:styleId="1373" w:customStyle="1">
    <w:name w:val="正文缩进 Char"/>
    <w:link w:val="1136"/>
    <w:uiPriority w:val="99"/>
    <w:qFormat/>
    <w:rPr>
      <w:rFonts w:ascii="Calibri" w:hAnsi="Calibri"/>
      <w:sz w:val="24"/>
    </w:rPr>
  </w:style>
  <w:style w:type="character" w:styleId="1374" w:customStyle="1">
    <w:name w:val="副标题 Char"/>
    <w:link w:val="1375"/>
    <w:uiPriority w:val="11"/>
    <w:qFormat/>
    <w:rPr>
      <w:rFonts w:ascii="Cambria" w:hAnsi="Cambria" w:eastAsia="仿宋_GB2312" w:cs="Times New Roman"/>
      <w:b/>
      <w:bCs/>
      <w:sz w:val="32"/>
      <w:szCs w:val="32"/>
    </w:rPr>
  </w:style>
  <w:style w:type="paragraph" w:styleId="1375" w:customStyle="1">
    <w:name w:val="副标题1"/>
    <w:basedOn w:val="1094"/>
    <w:next w:val="1094"/>
    <w:link w:val="1374"/>
    <w:uiPriority w:val="11"/>
    <w:qFormat/>
    <w:pPr>
      <w:ind w:left="100" w:right="100"/>
      <w:jc w:val="center"/>
      <w:spacing w:before="240" w:after="120" w:line="312" w:lineRule="auto"/>
      <w:outlineLvl w:val="1"/>
    </w:pPr>
    <w:rPr>
      <w:rFonts w:ascii="Cambria" w:hAnsi="Cambria"/>
      <w:b/>
      <w:bCs/>
      <w:sz w:val="32"/>
      <w:szCs w:val="32"/>
    </w:rPr>
  </w:style>
  <w:style w:type="character" w:styleId="1376" w:customStyle="1">
    <w:name w:val="font11"/>
    <w:basedOn w:val="1303"/>
    <w:link w:val="1094"/>
    <w:uiPriority w:val="99"/>
    <w:qFormat/>
    <w:rPr>
      <w:rFonts w:ascii="Times New Roman" w:hAnsi="Times New Roman" w:cs="Times New Roman"/>
      <w:color w:val="000000"/>
      <w:sz w:val="24"/>
      <w:szCs w:val="24"/>
      <w:u w:val="none"/>
    </w:rPr>
  </w:style>
  <w:style w:type="character" w:styleId="1377" w:customStyle="1">
    <w:name w:val="最终正文格式 Char"/>
    <w:link w:val="1378"/>
    <w:uiPriority w:val="0"/>
    <w:qFormat/>
    <w:rPr>
      <w:rFonts w:ascii="Arial" w:hAnsi="Arial" w:cs="Arial"/>
    </w:rPr>
  </w:style>
  <w:style w:type="paragraph" w:styleId="1378" w:customStyle="1">
    <w:name w:val="最终正文格式"/>
    <w:basedOn w:val="1311"/>
    <w:link w:val="1377"/>
    <w:uiPriority w:val="0"/>
    <w:qFormat/>
    <w:pPr>
      <w:ind w:left="315" w:firstLine="0"/>
      <w:spacing w:line="240" w:lineRule="auto"/>
      <w:widowControl/>
    </w:pPr>
    <w:rPr>
      <w:rFonts w:ascii="Arial" w:hAnsi="Arial"/>
      <w:sz w:val="20"/>
      <w:szCs w:val="20"/>
    </w:rPr>
  </w:style>
  <w:style w:type="paragraph" w:styleId="1379" w:customStyle="1">
    <w:name w:val="xl260"/>
    <w:basedOn w:val="10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80" w:customStyle="1">
    <w:name w:val="xl306"/>
    <w:basedOn w:val="109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81" w:customStyle="1">
    <w:name w:val="xl304"/>
    <w:basedOn w:val="109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82" w:customStyle="1">
    <w:name w:val="索引 21"/>
    <w:basedOn w:val="1094"/>
    <w:next w:val="1094"/>
    <w:uiPriority w:val="0"/>
    <w:qFormat/>
    <w:pPr>
      <w:ind w:left="200"/>
    </w:pPr>
  </w:style>
  <w:style w:type="paragraph" w:styleId="1383" w:customStyle="1">
    <w:name w:val="列出段落4"/>
    <w:basedOn w:val="1094"/>
    <w:uiPriority w:val="0"/>
    <w:qFormat/>
    <w:pPr>
      <w:ind w:firstLine="420"/>
    </w:pPr>
    <w:rPr>
      <w:rFonts w:ascii="Calibri" w:hAnsi="Calibri" w:eastAsia="宋体" w:cs="Times New Roman"/>
      <w:sz w:val="20"/>
    </w:rPr>
  </w:style>
  <w:style w:type="paragraph" w:styleId="1384" w:customStyle="1">
    <w:name w:val="xl286"/>
    <w:basedOn w:val="10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85" w:customStyle="1">
    <w:name w:val="xl315"/>
    <w:basedOn w:val="109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86" w:customStyle="1">
    <w:name w:val="xl252"/>
    <w:basedOn w:val="10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87" w:customStyle="1">
    <w:name w:val="xl269"/>
    <w:basedOn w:val="10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rPr>
  </w:style>
  <w:style w:type="paragraph" w:styleId="1388" w:customStyle="1">
    <w:name w:val="cucd-0"/>
    <w:uiPriority w:val="0"/>
    <w:qFormat/>
    <w:pPr>
      <w:ind w:firstLine="480"/>
      <w:spacing w:line="360" w:lineRule="auto"/>
    </w:pPr>
    <w:rPr>
      <w:rFonts w:hint="default" w:ascii="宋体" w:hAnsi="Times New Roman" w:eastAsia="宋体" w:cs="Times New Roman"/>
      <w:sz w:val="24"/>
      <w:szCs w:val="24"/>
      <w:lang w:val="en-US" w:eastAsia="zh-CN" w:bidi="ar-SA"/>
    </w:rPr>
  </w:style>
  <w:style w:type="paragraph" w:styleId="1389" w:customStyle="1">
    <w:name w:val="xl322"/>
    <w:basedOn w:val="109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90" w:customStyle="1">
    <w:name w:val="xl314"/>
    <w:basedOn w:val="109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91" w:customStyle="1">
    <w:name w:val="xl316"/>
    <w:basedOn w:val="109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rPr>
  </w:style>
  <w:style w:type="paragraph" w:styleId="1392" w:customStyle="1">
    <w:name w:val="xl279"/>
    <w:basedOn w:val="10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93" w:customStyle="1">
    <w:name w:val="xl282"/>
    <w:basedOn w:val="10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94" w:customStyle="1">
    <w:name w:val="索引 41"/>
    <w:basedOn w:val="1094"/>
    <w:next w:val="1094"/>
    <w:uiPriority w:val="99"/>
    <w:unhideWhenUsed/>
    <w:qFormat/>
    <w:pPr>
      <w:numPr>
        <w:ilvl w:val="0"/>
        <w:numId w:val="1"/>
      </w:numPr>
    </w:pPr>
  </w:style>
  <w:style w:type="paragraph" w:styleId="1395" w:customStyle="1">
    <w:name w:val="目录 21"/>
    <w:basedOn w:val="1094"/>
    <w:next w:val="1094"/>
    <w:uiPriority w:val="39"/>
    <w:unhideWhenUsed/>
    <w:qFormat/>
    <w:pPr>
      <w:ind w:firstLine="425"/>
      <w:jc w:val="left"/>
      <w:spacing w:line="360" w:lineRule="auto"/>
      <w:tabs>
        <w:tab w:val="right" w:pos="8296" w:leader="dot"/>
      </w:tabs>
    </w:pPr>
    <w:rPr>
      <w:rFonts w:ascii="Calibri" w:hAnsi="Calibri" w:cs="Calibri"/>
      <w:smallCaps/>
      <w:sz w:val="20"/>
      <w:szCs w:val="20"/>
    </w:rPr>
  </w:style>
  <w:style w:type="paragraph" w:styleId="1396" w:customStyle="1">
    <w:name w:val="xl312"/>
    <w:basedOn w:val="109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397" w:customStyle="1">
    <w:name w:val="TOC 标题"/>
    <w:basedOn w:val="1294"/>
    <w:next w:val="1094"/>
    <w:uiPriority w:val="39"/>
    <w:qFormat/>
    <w:pPr>
      <w:jc w:val="left"/>
      <w:spacing w:before="480" w:after="0" w:line="276" w:lineRule="auto"/>
      <w:widowControl/>
      <w:outlineLvl w:val="9"/>
    </w:pPr>
    <w:rPr>
      <w:rFonts w:ascii="Cambria" w:hAnsi="Cambria" w:eastAsia="宋体" w:cs="Times New Roman"/>
      <w:color w:val="365f91"/>
      <w:sz w:val="28"/>
      <w:szCs w:val="28"/>
      <w:lang w:val="en-US" w:eastAsia="zh-CN"/>
    </w:rPr>
  </w:style>
  <w:style w:type="paragraph" w:styleId="1398" w:customStyle="1">
    <w:name w:val="正文文本 21"/>
    <w:basedOn w:val="1094"/>
    <w:uiPriority w:val="99"/>
    <w:qFormat/>
    <w:pPr>
      <w:spacing w:after="120" w:line="480" w:lineRule="auto"/>
    </w:pPr>
    <w:rPr>
      <w:rFonts w:ascii="Calibri" w:hAnsi="Calibri" w:eastAsia="宋体" w:cs="Times New Roman"/>
      <w:sz w:val="24"/>
      <w:szCs w:val="22"/>
    </w:rPr>
  </w:style>
  <w:style w:type="paragraph" w:styleId="1399"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400"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401" w:customStyle="1">
    <w:name w:val="xl283"/>
    <w:basedOn w:val="10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02" w:customStyle="1">
    <w:name w:val="目录 61"/>
    <w:basedOn w:val="1094"/>
    <w:next w:val="1094"/>
    <w:uiPriority w:val="39"/>
    <w:unhideWhenUsed/>
    <w:qFormat/>
    <w:pPr>
      <w:ind w:left="1050"/>
      <w:jc w:val="left"/>
    </w:pPr>
    <w:rPr>
      <w:rFonts w:ascii="Calibri" w:hAnsi="Calibri" w:cs="Calibri"/>
      <w:sz w:val="18"/>
      <w:szCs w:val="18"/>
    </w:rPr>
  </w:style>
  <w:style w:type="paragraph" w:styleId="1403" w:customStyle="1">
    <w:name w:val="xl308"/>
    <w:basedOn w:val="109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04" w:customStyle="1">
    <w:name w:val="标题 211"/>
    <w:basedOn w:val="1094"/>
    <w:next w:val="1094"/>
    <w:uiPriority w:val="9"/>
    <w:qFormat/>
    <w:pPr>
      <w:jc w:val="center"/>
      <w:keepLines/>
      <w:keepNext/>
      <w:spacing w:before="260" w:after="260" w:line="360" w:lineRule="auto"/>
      <w:tabs>
        <w:tab w:val="right" w:pos="8296" w:leader="dot"/>
      </w:tabs>
      <w:outlineLvl w:val="1"/>
    </w:pPr>
    <w:rPr>
      <w:rFonts w:ascii="Cambria" w:hAnsi="Cambria" w:eastAsia="宋体" w:cs="Times New Roman"/>
      <w:b/>
      <w:bCs/>
      <w:smallCaps/>
      <w:sz w:val="32"/>
      <w:szCs w:val="32"/>
    </w:rPr>
  </w:style>
  <w:style w:type="paragraph" w:styleId="1405" w:customStyle="1">
    <w:name w:val="xl310"/>
    <w:basedOn w:val="109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06" w:customStyle="1">
    <w:name w:val="目录 51"/>
    <w:basedOn w:val="1094"/>
    <w:next w:val="1094"/>
    <w:uiPriority w:val="39"/>
    <w:unhideWhenUsed/>
    <w:qFormat/>
    <w:pPr>
      <w:ind w:left="840"/>
      <w:jc w:val="left"/>
    </w:pPr>
    <w:rPr>
      <w:rFonts w:ascii="Calibri" w:hAnsi="Calibri" w:cs="Calibri"/>
      <w:sz w:val="18"/>
      <w:szCs w:val="18"/>
    </w:rPr>
  </w:style>
  <w:style w:type="paragraph" w:styleId="140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408" w:customStyle="1">
    <w:name w:val="xl277"/>
    <w:basedOn w:val="10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09" w:customStyle="1">
    <w:name w:val="文本块11"/>
    <w:basedOn w:val="1410"/>
    <w:uiPriority w:val="0"/>
    <w:qFormat/>
    <w:pPr>
      <w:ind w:left="256" w:right="6" w:firstLine="624"/>
    </w:pPr>
    <w:rPr>
      <w:rFonts w:ascii="Times New Roman" w:hAnsi="Times New Roman" w:eastAsia="仿宋_GB2312"/>
      <w:sz w:val="28"/>
      <w:szCs w:val="20"/>
    </w:rPr>
  </w:style>
  <w:style w:type="paragraph" w:styleId="1410" w:customStyle="1">
    <w:name w:val="正文12"/>
    <w:next w:val="1409"/>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411" w:customStyle="1">
    <w:name w:val="样式 首行缩进:  0 字符"/>
    <w:basedOn w:val="1094"/>
    <w:uiPriority w:val="99"/>
    <w:qFormat/>
    <w:pPr>
      <w:jc w:val="left"/>
      <w:spacing w:line="360" w:lineRule="auto"/>
    </w:pPr>
    <w:rPr>
      <w:rFonts w:ascii="Arial" w:hAnsi="Arial" w:eastAsia="宋体" w:cs="宋体"/>
      <w:szCs w:val="20"/>
    </w:rPr>
  </w:style>
  <w:style w:type="paragraph" w:styleId="1412" w:customStyle="1">
    <w:name w:val="索引 51"/>
    <w:basedOn w:val="1094"/>
    <w:next w:val="1094"/>
    <w:uiPriority w:val="99"/>
    <w:unhideWhenUsed/>
    <w:qFormat/>
    <w:pPr>
      <w:ind w:left="800"/>
    </w:pPr>
  </w:style>
  <w:style w:type="paragraph" w:styleId="1413" w:customStyle="1">
    <w:name w:val="普通(网站)1"/>
    <w:basedOn w:val="1094"/>
    <w:uiPriority w:val="99"/>
    <w:qFormat/>
    <w:pPr>
      <w:jc w:val="left"/>
      <w:spacing w:before="100" w:beforeAutospacing="1" w:after="100" w:afterAutospacing="1"/>
      <w:widowControl/>
    </w:pPr>
    <w:rPr>
      <w:rFonts w:ascii="宋体" w:hAnsi="宋体" w:cs="宋体"/>
      <w:sz w:val="24"/>
    </w:rPr>
  </w:style>
  <w:style w:type="paragraph" w:styleId="1414" w:customStyle="1">
    <w:name w:val="列出段落2"/>
    <w:basedOn w:val="1094"/>
    <w:uiPriority w:val="34"/>
    <w:qFormat/>
    <w:pPr>
      <w:ind w:firstLine="420"/>
      <w:spacing w:line="360" w:lineRule="auto"/>
    </w:pPr>
    <w:rPr>
      <w:rFonts w:ascii="Calibri" w:eastAsia="宋体" w:cs="黑体"/>
      <w:szCs w:val="22"/>
    </w:rPr>
  </w:style>
  <w:style w:type="paragraph" w:styleId="1415" w:customStyle="1">
    <w:name w:val="xl257"/>
    <w:basedOn w:val="10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416" w:customStyle="1">
    <w:name w:val="Third Level Item Step"/>
    <w:uiPriority w:val="0"/>
    <w:qFormat/>
    <w:pPr>
      <w:numPr>
        <w:ilvl w:val="2"/>
        <w:numId w:val="2"/>
      </w:numPr>
      <w:spacing w:before="80" w:after="80" w:line="240" w:lineRule="atLeast"/>
    </w:pPr>
    <w:rPr>
      <w:rFonts w:hint="eastAsia" w:ascii="Times New Roman" w:hAnsi="Times New Roman" w:eastAsia="宋体" w:cs="Arial"/>
      <w:sz w:val="21"/>
      <w:szCs w:val="21"/>
      <w:lang w:val="en-US" w:eastAsia="zh-CN" w:bidi="ar-SA"/>
    </w:rPr>
  </w:style>
  <w:style w:type="paragraph" w:styleId="1417" w:customStyle="1">
    <w:name w:val="xl287"/>
    <w:basedOn w:val="10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18" w:customStyle="1">
    <w:name w:val="xl299"/>
    <w:basedOn w:val="1094"/>
    <w:uiPriority w:val="0"/>
    <w:qFormat/>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19" w:customStyle="1">
    <w:name w:val="xl305"/>
    <w:basedOn w:val="109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66CC" w:sz="8" w:space="0"/>
      </w:pBdr>
    </w:pPr>
    <w:rPr>
      <w:rFonts w:ascii="宋体" w:hAnsi="宋体" w:eastAsia="宋体" w:cs="宋体"/>
      <w:sz w:val="18"/>
      <w:szCs w:val="18"/>
    </w:rPr>
  </w:style>
  <w:style w:type="paragraph" w:styleId="1420" w:customStyle="1">
    <w:name w:val="xl254"/>
    <w:basedOn w:val="10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21" w:customStyle="1">
    <w:name w:val="目录 91"/>
    <w:basedOn w:val="1094"/>
    <w:next w:val="1094"/>
    <w:uiPriority w:val="39"/>
    <w:unhideWhenUsed/>
    <w:qFormat/>
    <w:pPr>
      <w:ind w:left="1680"/>
      <w:jc w:val="left"/>
    </w:pPr>
    <w:rPr>
      <w:rFonts w:ascii="Calibri" w:hAnsi="Calibri" w:cs="Calibri"/>
      <w:sz w:val="18"/>
      <w:szCs w:val="18"/>
    </w:rPr>
  </w:style>
  <w:style w:type="paragraph" w:styleId="1422" w:customStyle="1">
    <w:name w:val="xl293"/>
    <w:basedOn w:val="1094"/>
    <w:uiPriority w:val="0"/>
    <w:qFormat/>
    <w:pPr>
      <w:ind w:firstLine="0"/>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23" w:customStyle="1">
    <w:name w:val="xl281"/>
    <w:basedOn w:val="10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24" w:customStyle="1">
    <w:name w:val="纯文本1"/>
    <w:basedOn w:val="1094"/>
    <w:uiPriority w:val="0"/>
    <w:qFormat/>
    <w:rPr>
      <w:rFonts w:ascii="宋体" w:hAnsi="宋体" w:eastAsia="楷体_GB2312"/>
      <w:sz w:val="26"/>
    </w:rPr>
  </w:style>
  <w:style w:type="paragraph" w:styleId="1425" w:customStyle="1">
    <w:name w:val="Table Paragraph"/>
    <w:basedOn w:val="1094"/>
    <w:uiPriority w:val="1"/>
    <w:qFormat/>
    <w:pPr>
      <w:jc w:val="left"/>
    </w:pPr>
    <w:rPr>
      <w:rFonts w:eastAsia="宋体"/>
      <w:sz w:val="24"/>
    </w:rPr>
  </w:style>
  <w:style w:type="paragraph" w:styleId="1426" w:customStyle="1">
    <w:name w:val="索引 31"/>
    <w:basedOn w:val="1094"/>
    <w:next w:val="1094"/>
    <w:uiPriority w:val="0"/>
    <w:qFormat/>
    <w:pPr>
      <w:ind w:left="400"/>
    </w:pPr>
  </w:style>
  <w:style w:type="paragraph" w:styleId="1427" w:customStyle="1">
    <w:name w:val="标题 21"/>
    <w:basedOn w:val="1144"/>
    <w:next w:val="1140"/>
    <w:uiPriority w:val="0"/>
    <w:qFormat/>
    <w:pPr>
      <w:numPr>
        <w:ilvl w:val="0"/>
        <w:numId w:val="3"/>
      </w:numPr>
      <w:keepLines/>
      <w:keepNext/>
      <w:spacing w:before="260" w:after="260" w:line="416" w:lineRule="auto"/>
      <w:outlineLvl w:val="1"/>
    </w:pPr>
    <w:rPr>
      <w:rFonts w:ascii="Cambria" w:hAnsi="Cambria"/>
      <w:b/>
      <w:bCs/>
      <w:sz w:val="28"/>
      <w:szCs w:val="32"/>
    </w:rPr>
  </w:style>
  <w:style w:type="paragraph" w:styleId="1428" w:customStyle="1">
    <w:name w:val="xl266"/>
    <w:basedOn w:val="10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rPr>
  </w:style>
  <w:style w:type="paragraph" w:styleId="1429" w:customStyle="1">
    <w:name w:val="xl319"/>
    <w:basedOn w:val="10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ff0000"/>
      <w:sz w:val="18"/>
      <w:szCs w:val="18"/>
    </w:rPr>
  </w:style>
  <w:style w:type="paragraph" w:styleId="1430" w:customStyle="1">
    <w:name w:val="HTML 预设格式1"/>
    <w:basedOn w:val="1094"/>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rPr>
  </w:style>
  <w:style w:type="paragraph" w:styleId="1431" w:customStyle="1">
    <w:name w:val="xl255"/>
    <w:basedOn w:val="10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32" w:customStyle="1">
    <w:name w:val="cucd-4"/>
    <w:next w:val="1388"/>
    <w:uiPriority w:val="0"/>
    <w:qFormat/>
    <w:pPr>
      <w:ind w:left="851" w:hanging="851"/>
      <w:spacing w:line="360" w:lineRule="auto"/>
      <w:tabs>
        <w:tab w:val="left" w:pos="851" w:leader="none"/>
      </w:tabs>
      <w:outlineLvl w:val="3"/>
    </w:pPr>
    <w:rPr>
      <w:rFonts w:hint="default" w:ascii="Times New Roman" w:hAnsi="Times New Roman" w:eastAsia="宋体" w:cs="Calibri"/>
      <w:b/>
      <w:sz w:val="24"/>
      <w:szCs w:val="24"/>
      <w:lang w:val="en-US" w:eastAsia="zh-CN" w:bidi="ar-SA"/>
    </w:rPr>
  </w:style>
  <w:style w:type="paragraph" w:styleId="1433" w:customStyle="1">
    <w:name w:val="标准"/>
    <w:basedOn w:val="1094"/>
    <w:uiPriority w:val="0"/>
    <w:qFormat/>
    <w:pPr>
      <w:ind w:firstLine="200"/>
      <w:spacing w:line="360" w:lineRule="auto"/>
    </w:pPr>
    <w:rPr>
      <w:rFonts w:cs="宋体"/>
      <w:sz w:val="20"/>
      <w:szCs w:val="20"/>
    </w:rPr>
  </w:style>
  <w:style w:type="paragraph" w:styleId="1434" w:customStyle="1">
    <w:name w:val="目录 41"/>
    <w:basedOn w:val="1094"/>
    <w:next w:val="1094"/>
    <w:uiPriority w:val="39"/>
    <w:unhideWhenUsed/>
    <w:qFormat/>
    <w:pPr>
      <w:ind w:left="630"/>
      <w:jc w:val="left"/>
    </w:pPr>
    <w:rPr>
      <w:rFonts w:ascii="Calibri" w:hAnsi="Calibri" w:cs="Calibri"/>
      <w:sz w:val="18"/>
      <w:szCs w:val="18"/>
    </w:rPr>
  </w:style>
  <w:style w:type="paragraph" w:styleId="1435" w:customStyle="1">
    <w:name w:val="文本块1"/>
    <w:basedOn w:val="1094"/>
    <w:uiPriority w:val="6"/>
    <w:qFormat/>
    <w:pPr>
      <w:ind w:left="256" w:right="6" w:firstLine="624"/>
    </w:pPr>
    <w:rPr>
      <w:rFonts w:ascii="Times New Roman" w:hAnsi="Times New Roman" w:eastAsia="仿宋" w:cs="Times New Roman"/>
      <w:sz w:val="28"/>
      <w:szCs w:val="20"/>
    </w:rPr>
  </w:style>
  <w:style w:type="paragraph" w:styleId="1436" w:customStyle="1">
    <w:name w:val="xl258"/>
    <w:basedOn w:val="10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437" w:customStyle="1">
    <w:name w:val="xl302"/>
    <w:basedOn w:val="109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38" w:customStyle="1">
    <w:name w:val="彩色列表 - 着色 11"/>
    <w:basedOn w:val="1094"/>
    <w:uiPriority w:val="99"/>
    <w:qFormat/>
    <w:pPr>
      <w:ind w:firstLine="420"/>
    </w:pPr>
    <w:rPr>
      <w:sz w:val="20"/>
    </w:rPr>
  </w:style>
  <w:style w:type="paragraph" w:styleId="1439" w:customStyle="1">
    <w:name w:val="xl253"/>
    <w:basedOn w:val="10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40" w:customStyle="1">
    <w:name w:val="xl263"/>
    <w:basedOn w:val="10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41" w:customStyle="1">
    <w:name w:val="目录 31"/>
    <w:basedOn w:val="1094"/>
    <w:next w:val="1094"/>
    <w:uiPriority w:val="39"/>
    <w:unhideWhenUsed/>
    <w:qFormat/>
    <w:pPr>
      <w:ind w:left="420"/>
      <w:jc w:val="left"/>
    </w:pPr>
    <w:rPr>
      <w:rFonts w:ascii="Calibri" w:hAnsi="Calibri" w:cs="Calibri"/>
      <w:i/>
      <w:iCs/>
      <w:sz w:val="20"/>
      <w:szCs w:val="20"/>
    </w:rPr>
  </w:style>
  <w:style w:type="paragraph" w:styleId="1442" w:customStyle="1">
    <w:name w:val="HTML 预设格式2"/>
    <w:basedOn w:val="1094"/>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1443" w:customStyle="1">
    <w:name w:val="Fourth Level Item Step"/>
    <w:uiPriority w:val="0"/>
    <w:qFormat/>
    <w:pPr>
      <w:numPr>
        <w:ilvl w:val="3"/>
        <w:numId w:val="2"/>
      </w:numPr>
      <w:spacing w:before="80" w:after="80" w:line="240" w:lineRule="atLeast"/>
    </w:pPr>
    <w:rPr>
      <w:rFonts w:hint="eastAsia" w:ascii="Times New Roman" w:hAnsi="Times New Roman" w:eastAsia="宋体" w:cs="Arial"/>
      <w:sz w:val="21"/>
      <w:szCs w:val="21"/>
      <w:lang w:val="en-US" w:eastAsia="zh-CN" w:bidi="ar-SA"/>
    </w:rPr>
  </w:style>
  <w:style w:type="paragraph" w:styleId="1444" w:customStyle="1">
    <w:name w:val="Sub Item Step"/>
    <w:uiPriority w:val="0"/>
    <w:qFormat/>
    <w:pPr>
      <w:numPr>
        <w:ilvl w:val="1"/>
        <w:numId w:val="2"/>
      </w:numPr>
      <w:spacing w:before="80" w:after="80" w:line="240" w:lineRule="atLeast"/>
    </w:pPr>
    <w:rPr>
      <w:rFonts w:hint="eastAsia" w:ascii="Times New Roman" w:hAnsi="Times New Roman" w:eastAsia="宋体" w:cs="Arial"/>
      <w:sz w:val="21"/>
      <w:szCs w:val="21"/>
      <w:lang w:val="en-US" w:eastAsia="zh-CN" w:bidi="ar-SA"/>
    </w:rPr>
  </w:style>
  <w:style w:type="paragraph" w:styleId="1445" w:customStyle="1">
    <w:name w:val="正文文本11"/>
    <w:basedOn w:val="1094"/>
    <w:next w:val="1094"/>
    <w:uiPriority w:val="99"/>
    <w:qFormat/>
    <w:pPr>
      <w:spacing w:after="120"/>
    </w:pPr>
    <w:rPr>
      <w:rFonts w:ascii="Calibri" w:eastAsia="宋体"/>
    </w:rPr>
  </w:style>
  <w:style w:type="paragraph" w:styleId="1446" w:customStyle="1">
    <w:name w:val="目录 71"/>
    <w:basedOn w:val="1094"/>
    <w:next w:val="1094"/>
    <w:uiPriority w:val="39"/>
    <w:unhideWhenUsed/>
    <w:qFormat/>
    <w:pPr>
      <w:ind w:left="1260"/>
      <w:jc w:val="left"/>
    </w:pPr>
    <w:rPr>
      <w:rFonts w:ascii="Calibri" w:hAnsi="Calibri" w:cs="Calibri"/>
      <w:sz w:val="18"/>
      <w:szCs w:val="18"/>
    </w:rPr>
  </w:style>
  <w:style w:type="paragraph" w:styleId="1447" w:customStyle="1">
    <w:name w:val="xl309"/>
    <w:basedOn w:val="109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48" w:customStyle="1">
    <w:name w:val="脚注文本1"/>
    <w:basedOn w:val="1094"/>
    <w:next w:val="1412"/>
    <w:uiPriority w:val="99"/>
    <w:unhideWhenUsed/>
    <w:qFormat/>
    <w:rPr>
      <w:rFonts w:ascii="Times New Roman" w:hAnsi="Times New Roman" w:eastAsia="宋体" w:cs="Times New Roman"/>
      <w:b/>
      <w:bCs/>
      <w:sz w:val="24"/>
      <w:szCs w:val="24"/>
    </w:rPr>
  </w:style>
  <w:style w:type="paragraph" w:styleId="1449" w:customStyle="1">
    <w:name w:val="xl296"/>
    <w:basedOn w:val="1094"/>
    <w:uiPriority w:val="0"/>
    <w:qFormat/>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50" w:customStyle="1">
    <w:name w:val="目录 81"/>
    <w:basedOn w:val="1094"/>
    <w:next w:val="1094"/>
    <w:uiPriority w:val="39"/>
    <w:unhideWhenUsed/>
    <w:qFormat/>
    <w:pPr>
      <w:ind w:left="1470"/>
      <w:jc w:val="left"/>
    </w:pPr>
    <w:rPr>
      <w:rFonts w:ascii="Calibri" w:hAnsi="Calibri" w:cs="Calibri"/>
      <w:sz w:val="18"/>
      <w:szCs w:val="18"/>
    </w:rPr>
  </w:style>
  <w:style w:type="paragraph" w:styleId="1451" w:customStyle="1">
    <w:name w:val="cucd-2"/>
    <w:next w:val="1452"/>
    <w:uiPriority w:val="0"/>
    <w:qFormat/>
    <w:pPr>
      <w:numPr>
        <w:ilvl w:val="0"/>
        <w:numId w:val="4"/>
      </w:numPr>
      <w:spacing w:line="360" w:lineRule="auto"/>
      <w:outlineLvl w:val="1"/>
    </w:pPr>
    <w:rPr>
      <w:rFonts w:hint="default" w:ascii="Times New Roman" w:hAnsi="Times New Roman" w:eastAsia="黑体" w:cs="Times New Roman"/>
      <w:b/>
      <w:sz w:val="30"/>
      <w:szCs w:val="24"/>
      <w:lang w:val="en-US" w:eastAsia="zh-CN" w:bidi="ar-SA"/>
    </w:rPr>
  </w:style>
  <w:style w:type="paragraph" w:styleId="1452" w:customStyle="1">
    <w:name w:val="cucd-3"/>
    <w:next w:val="1094"/>
    <w:uiPriority w:val="0"/>
    <w:qFormat/>
    <w:pPr>
      <w:numPr>
        <w:ilvl w:val="1"/>
        <w:numId w:val="5"/>
      </w:numPr>
      <w:spacing w:line="360" w:lineRule="auto"/>
      <w:outlineLvl w:val="2"/>
    </w:pPr>
    <w:rPr>
      <w:rFonts w:hint="default" w:ascii="Times New Roman" w:hAnsi="Times New Roman" w:eastAsia="宋体" w:cs="Times New Roman"/>
      <w:b/>
      <w:sz w:val="24"/>
      <w:lang w:val="en-US" w:eastAsia="zh-CN" w:bidi="ar-SA"/>
    </w:rPr>
  </w:style>
  <w:style w:type="paragraph" w:styleId="1453" w:customStyle="1">
    <w:name w:val="xl295"/>
    <w:basedOn w:val="10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8"/>
      <w:szCs w:val="28"/>
    </w:rPr>
  </w:style>
  <w:style w:type="paragraph" w:styleId="1454" w:customStyle="1">
    <w:name w:val="xl292"/>
    <w:basedOn w:val="1094"/>
    <w:uiPriority w:val="0"/>
    <w:qFormat/>
    <w:pPr>
      <w:ind w:firstLine="0"/>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55" w:customStyle="1">
    <w:name w:val="xl284"/>
    <w:basedOn w:val="10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56" w:customStyle="1">
    <w:name w:val="xl276"/>
    <w:basedOn w:val="10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57" w:customStyle="1">
    <w:name w:val="xl270"/>
    <w:basedOn w:val="10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58" w:customStyle="1">
    <w:name w:val="xl294"/>
    <w:basedOn w:val="10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8"/>
      <w:szCs w:val="28"/>
    </w:rPr>
  </w:style>
  <w:style w:type="paragraph" w:styleId="1459" w:customStyle="1">
    <w:name w:val="xl251"/>
    <w:basedOn w:val="10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460" w:customStyle="1">
    <w:name w:val="无间隔"/>
    <w:uiPriority w:val="1"/>
    <w:qFormat/>
    <w:rPr>
      <w:rFonts w:hint="default" w:ascii="Times New Roman" w:hAnsi="Times New Roman" w:eastAsia="宋体" w:cs="Times New Roman"/>
      <w:sz w:val="24"/>
      <w:szCs w:val="24"/>
      <w:lang w:val="en-US" w:eastAsia="zh-CN" w:bidi="ar-SA"/>
    </w:rPr>
  </w:style>
  <w:style w:type="paragraph" w:styleId="1461" w:customStyle="1">
    <w:name w:val="BodyText1I21"/>
    <w:basedOn w:val="1462"/>
    <w:next w:val="1094"/>
    <w:uiPriority w:val="0"/>
    <w:qFormat/>
    <w:pPr>
      <w:ind w:left="420" w:firstLine="420"/>
      <w:jc w:val="both"/>
      <w:spacing w:after="120" w:line="274" w:lineRule="auto"/>
    </w:pPr>
  </w:style>
  <w:style w:type="paragraph" w:styleId="1462" w:customStyle="1">
    <w:name w:val="BodyTextIndent1"/>
    <w:basedOn w:val="1094"/>
    <w:uiPriority w:val="0"/>
    <w:qFormat/>
    <w:pPr>
      <w:ind w:left="420" w:firstLine="200"/>
      <w:jc w:val="both"/>
      <w:spacing w:after="120" w:line="274" w:lineRule="auto"/>
    </w:pPr>
  </w:style>
  <w:style w:type="paragraph" w:styleId="1463" w:customStyle="1">
    <w:name w:val="Table Text"/>
    <w:uiPriority w:val="0"/>
    <w:qFormat/>
    <w:pPr>
      <w:tabs>
        <w:tab w:val="decimal" w:pos="0" w:leader="none"/>
      </w:tabs>
    </w:pPr>
    <w:rPr>
      <w:rFonts w:hint="default" w:ascii="Arial" w:hAnsi="Arial" w:eastAsia="宋体" w:cs="Times New Roman"/>
      <w:sz w:val="21"/>
      <w:szCs w:val="21"/>
      <w:lang w:val="en-US" w:eastAsia="zh-CN" w:bidi="ar-SA"/>
    </w:rPr>
  </w:style>
  <w:style w:type="paragraph" w:styleId="1464" w:customStyle="1">
    <w:name w:val="列出段落1"/>
    <w:basedOn w:val="1094"/>
    <w:uiPriority w:val="99"/>
    <w:qFormat/>
    <w:pPr>
      <w:ind w:firstLine="420"/>
    </w:pPr>
    <w:rPr>
      <w:szCs w:val="22"/>
    </w:rPr>
  </w:style>
  <w:style w:type="paragraph" w:styleId="1465" w:customStyle="1">
    <w:name w:val="xl325"/>
    <w:basedOn w:val="1094"/>
    <w:uiPriority w:val="0"/>
    <w:qFormat/>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66" w:customStyle="1">
    <w:name w:val="正文文档"/>
    <w:basedOn w:val="1094"/>
    <w:uiPriority w:val="0"/>
    <w:qFormat/>
    <w:pPr>
      <w:ind w:firstLine="485"/>
      <w:spacing w:line="360" w:lineRule="auto"/>
    </w:pPr>
    <w:rPr>
      <w:rFonts w:ascii="宋体" w:hAnsi="宋体"/>
      <w:sz w:val="24"/>
    </w:rPr>
  </w:style>
  <w:style w:type="paragraph" w:styleId="1467" w:customStyle="1">
    <w:name w:val="正文 New New New New"/>
    <w:uiPriority w:val="99"/>
    <w:qFormat/>
    <w:pPr>
      <w:jc w:val="both"/>
      <w:widowControl w:val="off"/>
    </w:pPr>
    <w:rPr>
      <w:rFonts w:hint="default" w:ascii="Times New Roman" w:hAnsi="Times New Roman" w:eastAsia="宋体" w:cs="Times New Roman"/>
      <w:sz w:val="20"/>
      <w:szCs w:val="20"/>
      <w:lang w:val="en-US" w:eastAsia="zh-CN" w:bidi="ar-SA"/>
    </w:rPr>
  </w:style>
  <w:style w:type="paragraph" w:styleId="1468" w:customStyle="1">
    <w:name w:val="xl307"/>
    <w:basedOn w:val="109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69" w:customStyle="1">
    <w:name w:val="xl289"/>
    <w:basedOn w:val="10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70" w:customStyle="1">
    <w:name w:val="xl285"/>
    <w:basedOn w:val="10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71" w:customStyle="1">
    <w:name w:val="xl262"/>
    <w:basedOn w:val="10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72" w:customStyle="1">
    <w:name w:val="xl280"/>
    <w:basedOn w:val="10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73" w:customStyle="1">
    <w:name w:val="xl271"/>
    <w:basedOn w:val="10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74" w:customStyle="1">
    <w:name w:val="xl298"/>
    <w:basedOn w:val="1094"/>
    <w:uiPriority w:val="0"/>
    <w:qFormat/>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75" w:customStyle="1">
    <w:name w:val="_Style 357"/>
    <w:basedOn w:val="1138"/>
    <w:next w:val="1137"/>
    <w:uiPriority w:val="0"/>
    <w:qFormat/>
    <w:pPr>
      <w:ind w:firstLine="420"/>
    </w:pPr>
  </w:style>
  <w:style w:type="paragraph" w:styleId="1476" w:customStyle="1">
    <w:name w:val="xl268"/>
    <w:basedOn w:val="10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rPr>
  </w:style>
  <w:style w:type="paragraph" w:styleId="1477" w:customStyle="1">
    <w:name w:val="xl273"/>
    <w:basedOn w:val="10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rPr>
  </w:style>
  <w:style w:type="paragraph" w:styleId="1478">
    <w:name w:val="List Paragraph"/>
    <w:basedOn w:val="1094"/>
    <w:uiPriority w:val="0"/>
    <w:qFormat/>
    <w:pPr>
      <w:ind w:firstLine="420"/>
    </w:pPr>
    <w:rPr>
      <w:rFonts w:ascii="Calibri" w:hAnsi="Calibri"/>
      <w:szCs w:val="22"/>
    </w:rPr>
  </w:style>
  <w:style w:type="paragraph" w:styleId="1479" w:customStyle="1">
    <w:name w:val="xl320"/>
    <w:basedOn w:val="109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480" w:customStyle="1">
    <w:name w:val="xl317"/>
    <w:basedOn w:val="109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481" w:customStyle="1">
    <w:name w:val="xl300"/>
    <w:basedOn w:val="109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82" w:customStyle="1">
    <w:name w:val="xl290"/>
    <w:basedOn w:val="10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83" w:customStyle="1">
    <w:name w:val="BodyText1"/>
    <w:basedOn w:val="1094"/>
    <w:next w:val="1094"/>
    <w:uiPriority w:val="0"/>
    <w:qFormat/>
    <w:pPr>
      <w:ind w:firstLine="200"/>
      <w:jc w:val="both"/>
      <w:spacing w:after="120" w:line="274" w:lineRule="auto"/>
    </w:pPr>
    <w:rPr>
      <w:rFonts w:ascii="Calibri" w:hAnsi="Calibri" w:eastAsia="宋体"/>
      <w:sz w:val="24"/>
      <w:szCs w:val="24"/>
      <w:lang w:val="en-US" w:eastAsia="zh-CN" w:bidi="ar-SA"/>
    </w:rPr>
  </w:style>
  <w:style w:type="paragraph" w:styleId="1484" w:customStyle="1">
    <w:name w:val="font6"/>
    <w:basedOn w:val="1094"/>
    <w:uiPriority w:val="0"/>
    <w:qFormat/>
    <w:pPr>
      <w:ind w:firstLine="0"/>
      <w:jc w:val="left"/>
      <w:spacing w:before="100" w:beforeAutospacing="1" w:after="100" w:afterAutospacing="1" w:line="240" w:lineRule="auto"/>
      <w:widowControl/>
    </w:pPr>
    <w:rPr>
      <w:rFonts w:ascii="宋体" w:hAnsi="宋体" w:eastAsia="宋体" w:cs="宋体"/>
      <w:sz w:val="18"/>
      <w:szCs w:val="18"/>
    </w:rPr>
  </w:style>
  <w:style w:type="paragraph" w:styleId="1485" w:customStyle="1">
    <w:name w:val="标题 2u"/>
    <w:basedOn w:val="1296"/>
    <w:next w:val="1094"/>
    <w:uiPriority w:val="0"/>
    <w:qFormat/>
    <w:pPr>
      <w:ind w:left="0" w:firstLine="0"/>
      <w:jc w:val="both"/>
      <w:spacing w:line="360" w:lineRule="auto"/>
    </w:pPr>
    <w:rPr>
      <w:szCs w:val="32"/>
    </w:rPr>
  </w:style>
  <w:style w:type="paragraph" w:styleId="1486" w:customStyle="1">
    <w:name w:val="正文_0"/>
    <w:basedOn w:val="1094"/>
    <w:uiPriority w:val="0"/>
    <w:qFormat/>
    <w:rPr>
      <w:rFonts w:ascii="Times New Roman" w:hAnsi="Times New Roman" w:eastAsia="宋体" w:cs="Times New Roman"/>
      <w:szCs w:val="21"/>
    </w:rPr>
  </w:style>
  <w:style w:type="paragraph" w:styleId="1487" w:customStyle="1">
    <w:name w:val="xl272"/>
    <w:basedOn w:val="10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rPr>
  </w:style>
  <w:style w:type="paragraph" w:styleId="1488" w:customStyle="1">
    <w:name w:val="xl324"/>
    <w:basedOn w:val="109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89" w:customStyle="1">
    <w:name w:val="xl313"/>
    <w:basedOn w:val="109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90" w:customStyle="1">
    <w:name w:val="xl261"/>
    <w:basedOn w:val="10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91" w:customStyle="1">
    <w:name w:val="List Paragraph_0"/>
    <w:basedOn w:val="1144"/>
    <w:uiPriority w:val="99"/>
    <w:qFormat/>
    <w:pPr>
      <w:ind w:left="720"/>
    </w:pPr>
  </w:style>
  <w:style w:type="paragraph" w:styleId="1492" w:customStyle="1">
    <w:name w:val="xl318"/>
    <w:basedOn w:val="10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rPr>
  </w:style>
  <w:style w:type="paragraph" w:styleId="1493" w:customStyle="1">
    <w:name w:val="xl303"/>
    <w:basedOn w:val="109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rPr>
  </w:style>
  <w:style w:type="paragraph" w:styleId="1494" w:customStyle="1">
    <w:name w:val="xl321"/>
    <w:basedOn w:val="10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495" w:customStyle="1">
    <w:name w:val="首行缩进"/>
    <w:basedOn w:val="1144"/>
    <w:uiPriority w:val="0"/>
    <w:qFormat/>
    <w:pPr>
      <w:ind w:left="0" w:firstLine="200"/>
      <w:jc w:val="both"/>
      <w:widowControl w:val="off"/>
    </w:pPr>
    <w:rPr>
      <w:rFonts w:ascii="Times New Roman" w:cs="Times New Roman"/>
      <w:sz w:val="20"/>
    </w:rPr>
  </w:style>
  <w:style w:type="paragraph" w:styleId="1496" w:customStyle="1">
    <w:name w:val="xl291"/>
    <w:basedOn w:val="10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497" w:customStyle="1">
    <w:name w:val="xl275"/>
    <w:basedOn w:val="10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98" w:customStyle="1">
    <w:name w:val="xl259"/>
    <w:basedOn w:val="10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99" w:customStyle="1">
    <w:name w:val="xl288"/>
    <w:basedOn w:val="10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00" w:customStyle="1">
    <w:name w:val="xl274"/>
    <w:basedOn w:val="10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01" w:customStyle="1">
    <w:name w:val="xl297"/>
    <w:basedOn w:val="109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18"/>
      <w:szCs w:val="18"/>
    </w:rPr>
  </w:style>
  <w:style w:type="paragraph" w:styleId="1502" w:customStyle="1">
    <w:name w:val="样式 样式 左侧:  2 字符 + 左侧:  0.85 厘米 首行缩进:  2 字符1"/>
    <w:basedOn w:val="1094"/>
    <w:uiPriority w:val="0"/>
    <w:qFormat/>
    <w:pPr>
      <w:ind w:left="482" w:firstLine="200"/>
    </w:pPr>
    <w:rPr>
      <w:rFonts w:cs="宋体"/>
      <w:sz w:val="20"/>
      <w:szCs w:val="20"/>
    </w:rPr>
  </w:style>
  <w:style w:type="paragraph" w:styleId="1503" w:customStyle="1">
    <w:name w:val="xl301"/>
    <w:basedOn w:val="109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04" w:customStyle="1">
    <w:name w:val="xl264"/>
    <w:basedOn w:val="10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505" w:customStyle="1">
    <w:name w:val="font5"/>
    <w:basedOn w:val="1094"/>
    <w:uiPriority w:val="0"/>
    <w:qFormat/>
    <w:pPr>
      <w:ind w:firstLine="0"/>
      <w:jc w:val="left"/>
      <w:spacing w:before="100" w:beforeAutospacing="1" w:after="100" w:afterAutospacing="1" w:line="240" w:lineRule="auto"/>
      <w:widowControl/>
    </w:pPr>
    <w:rPr>
      <w:rFonts w:ascii="宋体" w:hAnsi="宋体" w:eastAsia="宋体" w:cs="宋体"/>
      <w:sz w:val="18"/>
      <w:szCs w:val="18"/>
    </w:rPr>
  </w:style>
  <w:style w:type="paragraph" w:styleId="1506" w:customStyle="1">
    <w:name w:val="xl265"/>
    <w:basedOn w:val="10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507" w:customStyle="1">
    <w:name w:val="正文1111"/>
    <w:next w:val="1144"/>
    <w:uiPriority w:val="0"/>
    <w:qFormat/>
    <w:pPr>
      <w:ind w:firstLine="200"/>
      <w:jc w:val="both"/>
      <w:spacing w:line="274" w:lineRule="auto"/>
      <w:widowControl w:val="off"/>
    </w:pPr>
    <w:rPr>
      <w:rFonts w:hint="default" w:ascii="仿宋_GB2312" w:hAnsi="Times New Roman" w:eastAsia="仿宋_GB2312" w:cs="Times New Roman"/>
      <w:sz w:val="24"/>
      <w:szCs w:val="24"/>
      <w:lang w:val="en-US" w:eastAsia="zh-CN" w:bidi="ar-SA"/>
    </w:rPr>
  </w:style>
  <w:style w:type="paragraph" w:styleId="1508" w:customStyle="1">
    <w:name w:val="xl323"/>
    <w:basedOn w:val="109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09" w:customStyle="1">
    <w:name w:val="xl311"/>
    <w:basedOn w:val="1094"/>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510" w:customStyle="1">
    <w:name w:val="xl267"/>
    <w:basedOn w:val="10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511" w:customStyle="1">
    <w:name w:val="p0"/>
    <w:basedOn w:val="1094"/>
    <w:uiPriority w:val="99"/>
    <w:qFormat/>
    <w:pPr>
      <w:widowControl/>
    </w:pPr>
    <w:rPr>
      <w:rFonts w:ascii="Calibri" w:hAnsi="Calibri" w:cs="Calibri"/>
      <w:szCs w:val="21"/>
    </w:rPr>
  </w:style>
  <w:style w:type="paragraph" w:styleId="1512" w:customStyle="1">
    <w:name w:val="xl278"/>
    <w:basedOn w:val="10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13" w:customStyle="1">
    <w:name w:val="xl256"/>
    <w:basedOn w:val="109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14" w:customStyle="1">
    <w:name w:val="Item Step"/>
    <w:uiPriority w:val="0"/>
    <w:qFormat/>
    <w:pPr>
      <w:numPr>
        <w:ilvl w:val="0"/>
        <w:numId w:val="2"/>
      </w:numPr>
      <w:spacing w:before="80" w:after="80" w:line="240" w:lineRule="atLeast"/>
    </w:pPr>
    <w:rPr>
      <w:rFonts w:hint="eastAsia" w:ascii="Times New Roman" w:hAnsi="Times New Roman" w:eastAsia="宋体" w:cs="Arial"/>
      <w:sz w:val="21"/>
      <w:szCs w:val="21"/>
      <w:lang w:val="en-US" w:eastAsia="zh-CN" w:bidi="ar-SA"/>
    </w:rPr>
  </w:style>
  <w:style w:type="paragraph" w:styleId="1515" w:customStyle="1">
    <w:name w:val="Normal New"/>
    <w:uiPriority w:val="0"/>
    <w:qFormat/>
    <w:pPr>
      <w:jc w:val="both"/>
      <w:widowControl w:val="off"/>
    </w:pPr>
    <w:rPr>
      <w:rFonts w:hint="default" w:ascii="Times New Roman" w:hAnsi="Times New Roman" w:eastAsia="宋体" w:cs="Times New Roman"/>
      <w:sz w:val="21"/>
      <w:lang w:val="en-US" w:eastAsia="zh-CN" w:bidi="ar-SA"/>
    </w:rPr>
  </w:style>
  <w:style w:type="table" w:styleId="1516" w:customStyle="1">
    <w:name w:val="网格型1"/>
    <w:basedOn w:val="1304"/>
    <w:uiPriority w:val="59"/>
    <w:qFormat/>
    <w:pPr>
      <w:jc w:val="both"/>
      <w:widowControl w:val="off"/>
    </w:pPr>
    <w:tblPr/>
  </w:style>
  <w:style w:type="paragraph" w:styleId="1517" w:customStyle="1">
    <w:name w:val="正文文本111"/>
    <w:basedOn w:val="1094"/>
    <w:next w:val="1094"/>
    <w:uiPriority w:val="99"/>
    <w:qFormat/>
    <w:pPr>
      <w:spacing w:after="120"/>
    </w:pPr>
    <w:rPr>
      <w:rFonts w:ascii="Calibri" w:eastAsia="宋体"/>
    </w:rPr>
  </w:style>
  <w:style w:type="character" w:styleId="1518" w:customStyle="1">
    <w:name w:val="NormalCharacter"/>
    <w:uiPriority w:val="0"/>
    <w:semiHidden/>
    <w:qFormat/>
  </w:style>
  <w:style w:type="paragraph" w:styleId="1519" w:customStyle="1">
    <w:name w:val="正文112"/>
    <w:next w:val="1445"/>
    <w:uiPriority w:val="0"/>
    <w:qFormat/>
    <w:pPr>
      <w:ind w:firstLine="200"/>
      <w:jc w:val="both"/>
      <w:spacing w:line="274" w:lineRule="auto"/>
      <w:widowControl w:val="off"/>
    </w:pPr>
    <w:rPr>
      <w:rFonts w:hint="default" w:ascii="仿宋_GB2312" w:hAnsi="Times New Roman" w:eastAsia="仿宋_GB2312" w:cs="Times New Roman"/>
      <w:sz w:val="24"/>
      <w:szCs w:val="24"/>
      <w:lang w:val="en-US" w:eastAsia="zh-CN" w:bidi="ar-SA"/>
    </w:rPr>
  </w:style>
  <w:style w:type="paragraph" w:styleId="1520" w:customStyle="1">
    <w:name w:val="目录 12"/>
    <w:basedOn w:val="1094"/>
    <w:next w:val="1094"/>
    <w:uiPriority w:val="0"/>
    <w:qFormat/>
    <w:pPr>
      <w:ind w:firstLine="0"/>
      <w:jc w:val="left"/>
      <w:spacing w:before="120" w:after="120" w:line="360" w:lineRule="auto"/>
      <w:tabs>
        <w:tab w:val="right" w:pos="8296" w:leader="dot"/>
      </w:tabs>
    </w:pPr>
    <w:rPr>
      <w:rFonts w:ascii="Calibri" w:hAnsi="Calibri" w:eastAsia="宋体" w:cs="Calibri"/>
      <w:b/>
      <w:bCs/>
      <w:caps/>
      <w:sz w:val="20"/>
      <w:szCs w:val="20"/>
    </w:rPr>
  </w:style>
  <w:style w:type="paragraph" w:styleId="152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522" w:customStyle="1">
    <w:name w:val="普通正文"/>
    <w:basedOn w:val="1094"/>
    <w:uiPriority w:val="0"/>
    <w:qFormat/>
    <w:pPr>
      <w:ind w:firstLine="480"/>
      <w:jc w:val="left"/>
      <w:spacing w:before="120" w:after="120" w:line="360" w:lineRule="auto"/>
    </w:pPr>
    <w:rPr>
      <w:rFonts w:ascii="Arial" w:hAnsi="Arial"/>
      <w:sz w:val="24"/>
      <w:szCs w:val="24"/>
    </w:rPr>
  </w:style>
  <w:style w:type="paragraph" w:styleId="1523" w:customStyle="1">
    <w:name w:val="※正文"/>
    <w:basedOn w:val="1094"/>
    <w:next w:val="1094"/>
    <w:uiPriority w:val="0"/>
    <w:qFormat/>
    <w:pPr>
      <w:ind w:left="1131"/>
      <w:spacing w:line="400" w:lineRule="exact"/>
      <w:widowControl/>
    </w:pPr>
    <w:rPr>
      <w:rFonts w:ascii="Calibri Light" w:hAnsi="Calibri Light" w:eastAsia="华文仿宋"/>
      <w:sz w:val="28"/>
      <w:szCs w:val="28"/>
    </w:rPr>
  </w:style>
  <w:style w:type="table" w:styleId="1524" w:customStyle="1">
    <w:name w:val="Table"/>
    <w:uiPriority w:val="0"/>
    <w:semiHidden/>
    <w:unhideWhenUsed/>
    <w:qFormat/>
    <w:tblPr>
      <w:tblLayout w:type="fixed"/>
      <w:tblCellMar>
        <w:left w:w="108" w:type="dxa"/>
        <w:top w:w="0" w:type="dxa"/>
        <w:right w:w="108" w:type="dxa"/>
        <w:bottom w:w="0" w:type="dxa"/>
      </w:tblCellMar>
    </w:tblPr>
  </w:style>
  <w:style w:type="paragraph" w:styleId="1525" w:customStyle="1">
    <w:name w:val="目录 1111"/>
    <w:basedOn w:val="1094"/>
    <w:next w:val="1094"/>
    <w:uiPriority w:val="39"/>
    <w:unhideWhenUsed/>
    <w:qFormat/>
    <w:pPr>
      <w:jc w:val="left"/>
      <w:spacing w:after="100" w:line="259" w:lineRule="auto"/>
      <w:widowControl/>
    </w:pPr>
    <w:rPr>
      <w:rFonts w:ascii="Calibri" w:hAnsi="Calibri" w:eastAsia="宋体"/>
      <w:sz w:val="22"/>
      <w:szCs w:val="22"/>
    </w:rPr>
  </w:style>
  <w:style w:type="numbering" w:styleId="15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footer" Target="footer1.xml" /><Relationship Id="rId21" Type="http://schemas.openxmlformats.org/officeDocument/2006/relationships/footer" Target="footer2.xml" /><Relationship Id="rId22" Type="http://schemas.openxmlformats.org/officeDocument/2006/relationships/footer" Target="footer3.xml" /><Relationship Id="rId23" Type="http://schemas.openxmlformats.org/officeDocument/2006/relationships/footer" Target="footer4.xml" /><Relationship Id="rId24" Type="http://schemas.openxmlformats.org/officeDocument/2006/relationships/footer" Target="footer5.xml" /><Relationship Id="rId25" Type="http://schemas.openxmlformats.org/officeDocument/2006/relationships/footer" Target="footer6.xml" /><Relationship Id="rId26" Type="http://schemas.openxmlformats.org/officeDocument/2006/relationships/footer" Target="footer7.xml" /><Relationship Id="rId27" Type="http://schemas.openxmlformats.org/officeDocument/2006/relationships/footer" Target="footer8.xml" /><Relationship Id="rId28" Type="http://schemas.openxmlformats.org/officeDocument/2006/relationships/footer" Target="footer9.xml" /><Relationship Id="rId29" Type="http://schemas.openxmlformats.org/officeDocument/2006/relationships/footer" Target="footer10.xml" /><Relationship Id="rId30" Type="http://schemas.openxmlformats.org/officeDocument/2006/relationships/footer" Target="footer11.xml" /><Relationship Id="rId31" Type="http://schemas.openxmlformats.org/officeDocument/2006/relationships/customXml" Target="../customXml/item1.xml" /><Relationship Id="rId3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dc:title>
  <dc:creator>Adminis</dc:creator>
  <cp:lastModifiedBy>曹倩</cp:lastModifiedBy>
  <cp:revision>6</cp:revision>
  <dcterms:created xsi:type="dcterms:W3CDTF">2021-07-06T09:45:00Z</dcterms:created>
  <dcterms:modified xsi:type="dcterms:W3CDTF">2026-05-27T04:47:43Z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KSOTemplateDocerSaveRecord">
    <vt:lpwstr>eyJoZGlkIjoiZmY2NTk1YTNhNTE0NzIzYTc5MWM4Y2FjMTRkYjRhNmEiLCJ1c2VySWQiOiIzMTI3Nzk1NTcifQ==</vt:lpwstr>
  </property>
  <property fmtid="{D5CDD505-2E9C-101B-9397-08002B2CF9AE}" pid="4" name="ICV">
    <vt:lpwstr>670B0E85BAC0478CAAF618475C95112A_13</vt:lpwstr>
  </property>
</Properties>
</file>